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138EF391" w:rsidR="00375259" w:rsidRPr="00F14A8F" w:rsidRDefault="00A71871">
      <w:pPr>
        <w:pStyle w:val="BodyTextIndent"/>
        <w:rPr>
          <w:szCs w:val="24"/>
        </w:rPr>
      </w:pPr>
      <w:r w:rsidRPr="00F14A8F">
        <w:rPr>
          <w:szCs w:val="24"/>
        </w:rPr>
        <w:tab/>
        <w:t xml:space="preserve">MINUTES OF THE </w:t>
      </w:r>
      <w:r w:rsidR="007F3F9F">
        <w:rPr>
          <w:szCs w:val="24"/>
        </w:rPr>
        <w:t>REGULAR</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0F8757FA" w14:textId="1DB4FBCA" w:rsidR="00375259" w:rsidRPr="00F14A8F" w:rsidRDefault="00EC77CB" w:rsidP="00EC77CB">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7F3F9F">
        <w:rPr>
          <w:spacing w:val="-3"/>
          <w:szCs w:val="24"/>
        </w:rPr>
        <w:t>October 21</w:t>
      </w:r>
      <w:r w:rsidRPr="00F14A8F">
        <w:rPr>
          <w:spacing w:val="-3"/>
          <w:szCs w:val="24"/>
        </w:rPr>
        <w:t>, 2021</w:t>
      </w:r>
      <w:r w:rsidR="00143506" w:rsidRPr="00F14A8F">
        <w:rPr>
          <w:spacing w:val="-3"/>
          <w:szCs w:val="24"/>
        </w:rPr>
        <w:t>,</w:t>
      </w:r>
      <w:r w:rsidR="00A71871" w:rsidRPr="00F14A8F">
        <w:rPr>
          <w:spacing w:val="-3"/>
          <w:szCs w:val="24"/>
        </w:rPr>
        <w:t xml:space="preserve"> at </w:t>
      </w:r>
      <w:r w:rsidR="007F3F9F">
        <w:rPr>
          <w:spacing w:val="-3"/>
          <w:szCs w:val="24"/>
        </w:rPr>
        <w:t>12:15</w:t>
      </w:r>
      <w:r w:rsidRPr="00F14A8F">
        <w:rPr>
          <w:spacing w:val="-3"/>
          <w:szCs w:val="24"/>
        </w:rPr>
        <w:t xml:space="preserve"> </w:t>
      </w:r>
      <w:r w:rsidR="00A077EA" w:rsidRPr="00F14A8F">
        <w:rPr>
          <w:spacing w:val="-3"/>
          <w:szCs w:val="24"/>
        </w:rPr>
        <w:t>p</w:t>
      </w:r>
      <w:r w:rsidR="00A71871" w:rsidRPr="00F14A8F">
        <w:rPr>
          <w:spacing w:val="-3"/>
          <w:szCs w:val="24"/>
        </w:rPr>
        <w:t>.m</w:t>
      </w:r>
      <w:r w:rsidRPr="00F14A8F">
        <w:rPr>
          <w:spacing w:val="-3"/>
          <w:szCs w:val="24"/>
        </w:rPr>
        <w:t>. via teleconference</w:t>
      </w:r>
    </w:p>
    <w:p w14:paraId="1AA88819" w14:textId="77777777" w:rsidR="00EC77CB" w:rsidRPr="00F14A8F" w:rsidRDefault="00EC77CB">
      <w:pPr>
        <w:tabs>
          <w:tab w:val="left" w:pos="3168"/>
          <w:tab w:val="left" w:pos="4176"/>
        </w:tabs>
        <w:suppressAutoHyphens/>
        <w:ind w:left="4176" w:hanging="4176"/>
        <w:jc w:val="both"/>
        <w:rPr>
          <w:spacing w:val="-3"/>
          <w:szCs w:val="24"/>
        </w:rPr>
      </w:pPr>
      <w:r w:rsidRPr="00F14A8F">
        <w:rPr>
          <w:spacing w:val="-3"/>
          <w:szCs w:val="24"/>
        </w:rPr>
        <w:tab/>
      </w:r>
      <w:r w:rsidRPr="00F14A8F">
        <w:rPr>
          <w:spacing w:val="-3"/>
          <w:szCs w:val="24"/>
        </w:rPr>
        <w:tab/>
      </w:r>
    </w:p>
    <w:p w14:paraId="201AAED7" w14:textId="5A082236" w:rsidR="00EC77CB" w:rsidRPr="00F14A8F" w:rsidRDefault="00EC77CB">
      <w:pPr>
        <w:tabs>
          <w:tab w:val="left" w:pos="3168"/>
          <w:tab w:val="left" w:pos="4176"/>
        </w:tabs>
        <w:suppressAutoHyphens/>
        <w:ind w:left="4176" w:hanging="4176"/>
        <w:jc w:val="both"/>
        <w:rPr>
          <w:spacing w:val="-3"/>
          <w:szCs w:val="24"/>
        </w:rPr>
      </w:pPr>
      <w:r w:rsidRPr="00F14A8F">
        <w:rPr>
          <w:spacing w:val="-3"/>
          <w:szCs w:val="24"/>
        </w:rPr>
        <w:tab/>
      </w:r>
      <w:r w:rsidRPr="00F14A8F">
        <w:rPr>
          <w:spacing w:val="-3"/>
          <w:szCs w:val="24"/>
        </w:rPr>
        <w:tab/>
        <w:t xml:space="preserve">Due to the </w:t>
      </w:r>
      <w:r w:rsidR="00424611" w:rsidRPr="00F14A8F">
        <w:rPr>
          <w:spacing w:val="-3"/>
          <w:szCs w:val="24"/>
        </w:rPr>
        <w:t>risk posed by COVID</w:t>
      </w:r>
      <w:r w:rsidRPr="00F14A8F">
        <w:rPr>
          <w:spacing w:val="-3"/>
          <w:szCs w:val="24"/>
        </w:rPr>
        <w:t>, the meeting was held via teleconference.</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5CEAB16D"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143506" w:rsidRPr="00F14A8F">
              <w:rPr>
                <w:spacing w:val="-3"/>
                <w:szCs w:val="24"/>
              </w:rPr>
              <w:t>special</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22E00609"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p>
          <w:p w14:paraId="1486A493" w14:textId="3BE9E8F0" w:rsidR="00652DA2"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7777777" w:rsidR="00A077EA" w:rsidRPr="00F14A8F" w:rsidRDefault="00A077EA" w:rsidP="00A077EA">
            <w:pPr>
              <w:tabs>
                <w:tab w:val="left" w:pos="792"/>
                <w:tab w:val="left" w:pos="3168"/>
                <w:tab w:val="left" w:pos="4176"/>
              </w:tabs>
              <w:suppressAutoHyphens/>
              <w:ind w:left="4176" w:hanging="3384"/>
              <w:jc w:val="both"/>
              <w:rPr>
                <w:spacing w:val="-3"/>
                <w:szCs w:val="24"/>
                <w:u w:val="single"/>
              </w:rPr>
            </w:pPr>
            <w:r w:rsidRPr="00F14A8F">
              <w:rPr>
                <w:spacing w:val="-3"/>
                <w:szCs w:val="24"/>
                <w:u w:val="single"/>
              </w:rPr>
              <w:t>Absent (Excused)</w:t>
            </w:r>
            <w:r w:rsidRPr="00F14A8F">
              <w:rPr>
                <w:spacing w:val="-3"/>
                <w:szCs w:val="24"/>
              </w:rPr>
              <w:t>:</w:t>
            </w:r>
          </w:p>
          <w:p w14:paraId="481F4BBF" w14:textId="78B6C816" w:rsidR="00A077EA" w:rsidRPr="00F14A8F"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rPr>
              <w:t>Tom Kaufman</w:t>
            </w:r>
          </w:p>
          <w:p w14:paraId="56279678" w14:textId="77777777" w:rsidR="00375259" w:rsidRPr="00F14A8F" w:rsidRDefault="00375259">
            <w:pPr>
              <w:tabs>
                <w:tab w:val="left" w:pos="0"/>
                <w:tab w:val="left" w:pos="792"/>
                <w:tab w:val="left" w:pos="3168"/>
              </w:tabs>
              <w:suppressAutoHyphens/>
              <w:jc w:val="both"/>
              <w:rPr>
                <w:spacing w:val="-3"/>
                <w:szCs w:val="24"/>
              </w:rPr>
            </w:pPr>
          </w:p>
          <w:p w14:paraId="0BA62702" w14:textId="24933216" w:rsidR="008509D3" w:rsidRDefault="007F3F9F" w:rsidP="00652DA2">
            <w:pPr>
              <w:tabs>
                <w:tab w:val="left" w:pos="792"/>
                <w:tab w:val="left" w:pos="3168"/>
                <w:tab w:val="left" w:pos="4176"/>
              </w:tabs>
              <w:suppressAutoHyphens/>
              <w:jc w:val="both"/>
              <w:rPr>
                <w:szCs w:val="24"/>
              </w:rPr>
            </w:pPr>
            <w:r w:rsidRPr="007F3F9F">
              <w:rPr>
                <w:szCs w:val="24"/>
              </w:rPr>
              <w:t>Also present were Matt Ruhland of Collins Cockrel &amp; Cole, P.C (via teleconference); Diane Wheeler of Simmons &amp; Wheeler, P.C.; Barney Fix of Merric</w:t>
            </w:r>
            <w:r>
              <w:rPr>
                <w:szCs w:val="24"/>
              </w:rPr>
              <w:t xml:space="preserve">k &amp; Company; </w:t>
            </w:r>
            <w:r w:rsidRPr="007F3F9F">
              <w:rPr>
                <w:szCs w:val="24"/>
              </w:rPr>
              <w:t xml:space="preserve">Megan J. Murphy (via teleconference) and Clint Waldron of White Bear Ankele Tanaka &amp; Waldron; </w:t>
            </w:r>
            <w:r>
              <w:rPr>
                <w:szCs w:val="24"/>
              </w:rPr>
              <w:t>and Dustin Anderson</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5BD8F477" w:rsidR="00375259" w:rsidRPr="00F14A8F" w:rsidRDefault="00A71871">
            <w:pPr>
              <w:keepLines/>
              <w:jc w:val="both"/>
              <w:rPr>
                <w:spacing w:val="-3"/>
                <w:szCs w:val="24"/>
              </w:rPr>
            </w:pPr>
            <w:r w:rsidRPr="00F14A8F">
              <w:rPr>
                <w:spacing w:val="-3"/>
                <w:szCs w:val="24"/>
              </w:rPr>
              <w:t xml:space="preserve">Director </w:t>
            </w:r>
            <w:r w:rsidR="00652DA2" w:rsidRPr="00F14A8F">
              <w:rPr>
                <w:spacing w:val="-3"/>
                <w:szCs w:val="24"/>
              </w:rPr>
              <w:t>Fellows</w:t>
            </w:r>
            <w:r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lastRenderedPageBreak/>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t>Meeting Minutes</w:t>
            </w:r>
          </w:p>
        </w:tc>
        <w:tc>
          <w:tcPr>
            <w:tcW w:w="6708" w:type="dxa"/>
          </w:tcPr>
          <w:p w14:paraId="4BDF3483" w14:textId="5DBD5B36" w:rsidR="00424611" w:rsidRPr="00F14A8F" w:rsidRDefault="00424611" w:rsidP="00424611">
            <w:pPr>
              <w:pStyle w:val="BodyText"/>
            </w:pPr>
            <w:r w:rsidRPr="00F14A8F">
              <w:t xml:space="preserve">Mr. Ruhland presented the Board with the </w:t>
            </w:r>
            <w:r w:rsidR="007F3F9F">
              <w:t>September 7</w:t>
            </w:r>
            <w:r w:rsidRPr="00F14A8F">
              <w:t xml:space="preserve">, 2021 Meeting minutes. Upon motion duly made by President Fellows, seconded by Director O’Connor and unanimously carried, the Board approved the minutes from the </w:t>
            </w:r>
            <w:r w:rsidR="007F3F9F">
              <w:t>September</w:t>
            </w:r>
            <w:r w:rsidRPr="00F14A8F">
              <w:t xml:space="preserve">, 2021 Special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C55436" w:rsidRPr="00F14A8F" w14:paraId="01881B2C" w14:textId="77777777" w:rsidTr="00F21E28">
        <w:tc>
          <w:tcPr>
            <w:tcW w:w="2868" w:type="dxa"/>
          </w:tcPr>
          <w:p w14:paraId="584A730D" w14:textId="77777777" w:rsidR="00C55436" w:rsidRDefault="00C55436" w:rsidP="00424611">
            <w:pPr>
              <w:widowControl w:val="0"/>
            </w:pPr>
            <w:r>
              <w:t>2021 Budget Amendment Hearing</w:t>
            </w:r>
          </w:p>
          <w:p w14:paraId="59EF832C" w14:textId="4691893B" w:rsidR="00C55436" w:rsidRPr="00F14A8F" w:rsidRDefault="00C55436" w:rsidP="00424611">
            <w:pPr>
              <w:widowControl w:val="0"/>
            </w:pPr>
          </w:p>
        </w:tc>
        <w:tc>
          <w:tcPr>
            <w:tcW w:w="6708" w:type="dxa"/>
          </w:tcPr>
          <w:p w14:paraId="5488072D" w14:textId="498D9ED5" w:rsidR="00C55436" w:rsidRPr="00F14A8F" w:rsidRDefault="00C55436" w:rsidP="00424611">
            <w:pPr>
              <w:pStyle w:val="BodyText"/>
            </w:pPr>
            <w:r>
              <w:t>None.</w:t>
            </w:r>
          </w:p>
        </w:tc>
      </w:tr>
      <w:tr w:rsidR="00C55436" w:rsidRPr="00F14A8F" w14:paraId="6723411C" w14:textId="77777777" w:rsidTr="00F21E28">
        <w:tc>
          <w:tcPr>
            <w:tcW w:w="2868" w:type="dxa"/>
          </w:tcPr>
          <w:p w14:paraId="309C5B73" w14:textId="200E7129" w:rsidR="00C55436" w:rsidRDefault="00C55436" w:rsidP="00424611">
            <w:pPr>
              <w:widowControl w:val="0"/>
            </w:pPr>
            <w:r>
              <w:t>2022 Budget Hearing</w:t>
            </w:r>
          </w:p>
        </w:tc>
        <w:tc>
          <w:tcPr>
            <w:tcW w:w="6708" w:type="dxa"/>
          </w:tcPr>
          <w:p w14:paraId="03F48326" w14:textId="0317BD68" w:rsidR="00C55436" w:rsidRDefault="00C55436" w:rsidP="00C55436">
            <w:pPr>
              <w:pStyle w:val="BodyText"/>
            </w:pPr>
            <w:r>
              <w:t>President Fellows then opened the public</w:t>
            </w:r>
            <w:r w:rsidR="00212D14">
              <w:t xml:space="preserve"> hearing on the 2022 Budget </w:t>
            </w:r>
            <w:r w:rsidR="00212D14" w:rsidRPr="00212D14">
              <w:t xml:space="preserve">and, no one appearing to be heard, closed the </w:t>
            </w:r>
            <w:r w:rsidR="00212D14">
              <w:t xml:space="preserve">public </w:t>
            </w:r>
            <w:r w:rsidR="00212D14" w:rsidRPr="00212D14">
              <w:t>hearing</w:t>
            </w:r>
            <w:r>
              <w:t>.</w:t>
            </w:r>
          </w:p>
          <w:p w14:paraId="5657F589" w14:textId="77777777" w:rsidR="00C55436" w:rsidRDefault="00C55436" w:rsidP="00C55436">
            <w:pPr>
              <w:pStyle w:val="BodyText"/>
            </w:pPr>
          </w:p>
          <w:p w14:paraId="07737379" w14:textId="77777777" w:rsidR="00C55436" w:rsidRDefault="00C55436" w:rsidP="00C55436">
            <w:pPr>
              <w:pStyle w:val="BodyText"/>
            </w:pPr>
            <w:r>
              <w:t>Ms. Wheeler presented and reviewed the proposed 2022 Budget and responded to questions.  Upon motion duly made by President Fellows, seconded by Director O’Connor and unanimously carried, the Board approved the Resolution to Adopt Budget and Appropriate Sums of Money, thereby approving and certifying the 2022 Budget.  Mr. Ruhland was directed to file the 2022 Budget with the Division of Local Government, in accordance with statute.</w:t>
            </w:r>
          </w:p>
          <w:p w14:paraId="796D09F0" w14:textId="77777777" w:rsidR="00C55436" w:rsidRDefault="00C55436" w:rsidP="00424611">
            <w:pPr>
              <w:pStyle w:val="BodyText"/>
            </w:pPr>
          </w:p>
        </w:tc>
      </w:tr>
      <w:tr w:rsidR="00C55436" w:rsidRPr="00F14A8F" w14:paraId="25D9FF61" w14:textId="77777777" w:rsidTr="00F21E28">
        <w:tc>
          <w:tcPr>
            <w:tcW w:w="2868" w:type="dxa"/>
          </w:tcPr>
          <w:p w14:paraId="76BD6D81" w14:textId="5D17DBDA" w:rsidR="00C55436" w:rsidRDefault="00C55436" w:rsidP="00424611">
            <w:pPr>
              <w:widowControl w:val="0"/>
            </w:pPr>
            <w:r w:rsidRPr="00C55436">
              <w:t>Resolution Designating the Location of Regular Meetings of the Board of Directors</w:t>
            </w:r>
          </w:p>
        </w:tc>
        <w:tc>
          <w:tcPr>
            <w:tcW w:w="6708" w:type="dxa"/>
          </w:tcPr>
          <w:p w14:paraId="6885C12F" w14:textId="6DF6D014" w:rsidR="00C55436" w:rsidRDefault="00C55436" w:rsidP="00C55436">
            <w:pPr>
              <w:pStyle w:val="BodyText"/>
            </w:pPr>
            <w:r w:rsidRPr="00C55436">
              <w:t xml:space="preserve">Mr. Ruhland presented the Resolution Designating the Location of Regular Meetings to the Board.  Following discussion, a motion duly made by President Fellows, seconded by Director </w:t>
            </w:r>
            <w:r>
              <w:t>O’Connor</w:t>
            </w:r>
            <w:r w:rsidRPr="00C55436">
              <w:t xml:space="preserve"> and unanimously carried, the Board approved the Resolution Designating the Location of Regular Meetings.</w:t>
            </w:r>
          </w:p>
          <w:p w14:paraId="5C1ED4E3" w14:textId="23A76977" w:rsidR="00C55436" w:rsidRDefault="00C55436" w:rsidP="00C55436">
            <w:pPr>
              <w:pStyle w:val="BodyText"/>
            </w:pPr>
          </w:p>
        </w:tc>
      </w:tr>
      <w:tr w:rsidR="00C55436" w:rsidRPr="00F14A8F" w14:paraId="58CD3E50" w14:textId="77777777" w:rsidTr="00F21E28">
        <w:tc>
          <w:tcPr>
            <w:tcW w:w="2868" w:type="dxa"/>
          </w:tcPr>
          <w:p w14:paraId="6FE2280F" w14:textId="6BB2E783" w:rsidR="00C55436" w:rsidRPr="00C55436" w:rsidRDefault="00C55436" w:rsidP="00424611">
            <w:pPr>
              <w:widowControl w:val="0"/>
            </w:pPr>
            <w:r w:rsidRPr="00C55436">
              <w:t>Requisition of Funds No. 1</w:t>
            </w:r>
          </w:p>
        </w:tc>
        <w:tc>
          <w:tcPr>
            <w:tcW w:w="6708" w:type="dxa"/>
          </w:tcPr>
          <w:p w14:paraId="47E55618" w14:textId="77777777" w:rsidR="00C55436" w:rsidRDefault="00C55436" w:rsidP="00C55436">
            <w:pPr>
              <w:pStyle w:val="BodyText"/>
            </w:pPr>
            <w:r>
              <w:t xml:space="preserve">Mr. Fix presented the </w:t>
            </w:r>
            <w:r w:rsidRPr="00C55436">
              <w:t>Requisition of Funds No. 1</w:t>
            </w:r>
            <w:r>
              <w:t xml:space="preserve"> in the amount of $63,904.40. Following discussion, a motion duly made by President Fellows, seconded by Director O’Connor, the Board approved the </w:t>
            </w:r>
            <w:r w:rsidRPr="00C55436">
              <w:t>Requisition of Funds No. 1.</w:t>
            </w:r>
          </w:p>
          <w:p w14:paraId="5227B811" w14:textId="21C97049" w:rsidR="00C55436" w:rsidRPr="00C55436" w:rsidRDefault="00C55436" w:rsidP="00C55436">
            <w:pPr>
              <w:pStyle w:val="BodyText"/>
            </w:pPr>
          </w:p>
        </w:tc>
      </w:tr>
      <w:tr w:rsidR="00C55436" w:rsidRPr="00F14A8F" w14:paraId="364720CE" w14:textId="77777777" w:rsidTr="00F21E28">
        <w:tc>
          <w:tcPr>
            <w:tcW w:w="2868" w:type="dxa"/>
          </w:tcPr>
          <w:p w14:paraId="78B4A705" w14:textId="50097C4C" w:rsidR="00C55436" w:rsidRPr="00C55436" w:rsidRDefault="00C55436" w:rsidP="00424611">
            <w:pPr>
              <w:widowControl w:val="0"/>
            </w:pPr>
            <w:r w:rsidRPr="00C55436">
              <w:t>Requisition of Fun</w:t>
            </w:r>
            <w:r>
              <w:t>ds No. 2</w:t>
            </w:r>
          </w:p>
        </w:tc>
        <w:tc>
          <w:tcPr>
            <w:tcW w:w="6708" w:type="dxa"/>
          </w:tcPr>
          <w:p w14:paraId="72CCDD41" w14:textId="107EF1A9" w:rsidR="00C55436" w:rsidRDefault="00C55436" w:rsidP="00C55436">
            <w:pPr>
              <w:pStyle w:val="BodyText"/>
            </w:pPr>
            <w:r>
              <w:t xml:space="preserve">Mr. Fix presented the </w:t>
            </w:r>
            <w:r w:rsidRPr="00C55436">
              <w:t xml:space="preserve">Requisition of Funds No. </w:t>
            </w:r>
            <w:r>
              <w:t>2 in the amount of $</w:t>
            </w:r>
            <w:r w:rsidRPr="00C55436">
              <w:t>1,548,438.16</w:t>
            </w:r>
            <w:r>
              <w:t xml:space="preserve">. Following discussion, a motion duly made by President Fellows, seconded by Director O’Connor, the Board approved the </w:t>
            </w:r>
            <w:r w:rsidRPr="00C55436">
              <w:t xml:space="preserve">Requisition of Funds No. </w:t>
            </w:r>
            <w:r>
              <w:t>2</w:t>
            </w:r>
            <w:r w:rsidRPr="00C55436">
              <w:t>.</w:t>
            </w:r>
          </w:p>
          <w:p w14:paraId="457861A7" w14:textId="77777777" w:rsidR="00C55436" w:rsidRPr="00C55436" w:rsidRDefault="00C55436" w:rsidP="00C55436">
            <w:pPr>
              <w:pStyle w:val="BodyText"/>
            </w:pPr>
          </w:p>
        </w:tc>
      </w:tr>
      <w:tr w:rsidR="00143CC1" w:rsidRPr="00F14A8F" w14:paraId="43C2ADE3" w14:textId="77777777" w:rsidTr="00F21E28">
        <w:tc>
          <w:tcPr>
            <w:tcW w:w="2868" w:type="dxa"/>
          </w:tcPr>
          <w:p w14:paraId="71BD60BA" w14:textId="444CA125" w:rsidR="00143CC1" w:rsidRPr="00F14A8F" w:rsidRDefault="00D676D5" w:rsidP="00D676D5">
            <w:pPr>
              <w:widowControl w:val="0"/>
              <w:rPr>
                <w:szCs w:val="24"/>
              </w:rPr>
            </w:pPr>
            <w:r w:rsidRPr="00F14A8F">
              <w:rPr>
                <w:szCs w:val="24"/>
              </w:rPr>
              <w:lastRenderedPageBreak/>
              <w:t xml:space="preserve">Services Agreement with </w:t>
            </w:r>
            <w:r w:rsidR="00C55436" w:rsidRPr="00C55436">
              <w:rPr>
                <w:szCs w:val="24"/>
              </w:rPr>
              <w:t>Olsson re</w:t>
            </w:r>
            <w:r w:rsidR="00C55436">
              <w:rPr>
                <w:szCs w:val="24"/>
              </w:rPr>
              <w:t>garding</w:t>
            </w:r>
            <w:r w:rsidR="00C55436" w:rsidRPr="00C55436">
              <w:rPr>
                <w:szCs w:val="24"/>
              </w:rPr>
              <w:t xml:space="preserve"> Collector and Major Connector Road Design</w:t>
            </w:r>
          </w:p>
        </w:tc>
        <w:tc>
          <w:tcPr>
            <w:tcW w:w="6708" w:type="dxa"/>
          </w:tcPr>
          <w:p w14:paraId="26D3BE97" w14:textId="0E5ABDF4" w:rsidR="00424611" w:rsidRPr="00F14A8F" w:rsidRDefault="00CB54ED" w:rsidP="00143CC1">
            <w:pPr>
              <w:pStyle w:val="BodyText"/>
              <w:rPr>
                <w:szCs w:val="24"/>
              </w:rPr>
            </w:pPr>
            <w:r w:rsidRPr="00F14A8F">
              <w:rPr>
                <w:szCs w:val="24"/>
              </w:rPr>
              <w:t xml:space="preserve">Mr. Ruhland discussed the Services Agreement with </w:t>
            </w:r>
            <w:r w:rsidR="00C55436" w:rsidRPr="00C55436">
              <w:rPr>
                <w:szCs w:val="24"/>
              </w:rPr>
              <w:t>Olsson re</w:t>
            </w:r>
            <w:r w:rsidR="00C55436">
              <w:rPr>
                <w:szCs w:val="24"/>
              </w:rPr>
              <w:t>garding</w:t>
            </w:r>
            <w:r w:rsidR="00C55436" w:rsidRPr="00C55436">
              <w:rPr>
                <w:szCs w:val="24"/>
              </w:rPr>
              <w:t xml:space="preserve"> Collector </w:t>
            </w:r>
            <w:r w:rsidR="00C55436">
              <w:rPr>
                <w:szCs w:val="24"/>
              </w:rPr>
              <w:t>and Major Connector Road Design</w:t>
            </w:r>
            <w:r w:rsidRPr="00F14A8F">
              <w:rPr>
                <w:szCs w:val="24"/>
              </w:rPr>
              <w:t xml:space="preserve"> with the Board. Following discussion, a motion duly made by President Fellows, seconded by Director O’Connor, the Board approved the Services Agreement with </w:t>
            </w:r>
            <w:r w:rsidR="00C55436">
              <w:rPr>
                <w:szCs w:val="24"/>
              </w:rPr>
              <w:t>Olsson.</w:t>
            </w:r>
          </w:p>
          <w:p w14:paraId="0934A5A0" w14:textId="15EFAD30" w:rsidR="00CB54ED" w:rsidRPr="00F14A8F" w:rsidRDefault="00CB54ED" w:rsidP="00143CC1">
            <w:pPr>
              <w:pStyle w:val="BodyText"/>
              <w:rPr>
                <w:szCs w:val="24"/>
              </w:rPr>
            </w:pPr>
          </w:p>
        </w:tc>
      </w:tr>
      <w:tr w:rsidR="00C55436" w:rsidRPr="00F14A8F" w14:paraId="1C2FE63C" w14:textId="77777777" w:rsidTr="00F21E28">
        <w:tc>
          <w:tcPr>
            <w:tcW w:w="2868" w:type="dxa"/>
          </w:tcPr>
          <w:p w14:paraId="4C1ED630" w14:textId="61AFF9CE" w:rsidR="00C55436" w:rsidRPr="00F14A8F" w:rsidRDefault="00C55436" w:rsidP="00C55436">
            <w:pPr>
              <w:widowControl w:val="0"/>
              <w:rPr>
                <w:szCs w:val="24"/>
              </w:rPr>
            </w:pPr>
            <w:r w:rsidRPr="00F14A8F">
              <w:rPr>
                <w:szCs w:val="24"/>
              </w:rPr>
              <w:t xml:space="preserve">Services Agreement with </w:t>
            </w:r>
            <w:r w:rsidRPr="00C55436">
              <w:rPr>
                <w:szCs w:val="24"/>
              </w:rPr>
              <w:t>Olsson re</w:t>
            </w:r>
            <w:r>
              <w:rPr>
                <w:szCs w:val="24"/>
              </w:rPr>
              <w:t>garding</w:t>
            </w:r>
            <w:r w:rsidRPr="00C55436">
              <w:rPr>
                <w:szCs w:val="24"/>
              </w:rPr>
              <w:t xml:space="preserve"> E-470 Ramps through Design/Approval</w:t>
            </w:r>
          </w:p>
        </w:tc>
        <w:tc>
          <w:tcPr>
            <w:tcW w:w="6708" w:type="dxa"/>
          </w:tcPr>
          <w:p w14:paraId="2FB7C738" w14:textId="1A96BF7E" w:rsidR="00C55436" w:rsidRPr="00F14A8F" w:rsidRDefault="00C55436" w:rsidP="00C55436">
            <w:pPr>
              <w:pStyle w:val="BodyText"/>
              <w:rPr>
                <w:szCs w:val="24"/>
              </w:rPr>
            </w:pPr>
            <w:r w:rsidRPr="00F14A8F">
              <w:rPr>
                <w:szCs w:val="24"/>
              </w:rPr>
              <w:t xml:space="preserve">Mr. Ruhland discussed the Services Agreement with </w:t>
            </w:r>
            <w:r w:rsidRPr="00C55436">
              <w:rPr>
                <w:szCs w:val="24"/>
              </w:rPr>
              <w:t>Olsson re</w:t>
            </w:r>
            <w:r>
              <w:rPr>
                <w:szCs w:val="24"/>
              </w:rPr>
              <w:t>garding</w:t>
            </w:r>
            <w:r w:rsidRPr="00C55436">
              <w:rPr>
                <w:szCs w:val="24"/>
              </w:rPr>
              <w:t xml:space="preserve"> </w:t>
            </w:r>
            <w:r>
              <w:rPr>
                <w:szCs w:val="24"/>
              </w:rPr>
              <w:t xml:space="preserve">E-470 Ramps through Design and </w:t>
            </w:r>
            <w:r w:rsidRPr="00C55436">
              <w:rPr>
                <w:szCs w:val="24"/>
              </w:rPr>
              <w:t xml:space="preserve">Approval </w:t>
            </w:r>
            <w:r w:rsidRPr="00F14A8F">
              <w:rPr>
                <w:szCs w:val="24"/>
              </w:rPr>
              <w:t xml:space="preserve">with the Board. Following discussion, a motion duly made by President Fellows, seconded by Director O’Connor, the Board approved the Services Agreement with </w:t>
            </w:r>
            <w:r>
              <w:rPr>
                <w:szCs w:val="24"/>
              </w:rPr>
              <w:t>Olsson.</w:t>
            </w:r>
          </w:p>
          <w:p w14:paraId="560BC275" w14:textId="77777777" w:rsidR="00C55436" w:rsidRPr="00F14A8F" w:rsidRDefault="00C55436" w:rsidP="00C55436">
            <w:pPr>
              <w:pStyle w:val="BodyText"/>
              <w:rPr>
                <w:szCs w:val="24"/>
              </w:rPr>
            </w:pPr>
          </w:p>
        </w:tc>
      </w:tr>
      <w:tr w:rsidR="00C55436" w:rsidRPr="00F14A8F" w14:paraId="4DF09124" w14:textId="77777777" w:rsidTr="00F21E28">
        <w:tc>
          <w:tcPr>
            <w:tcW w:w="2868" w:type="dxa"/>
          </w:tcPr>
          <w:p w14:paraId="54E8DEA6" w14:textId="4E69605B" w:rsidR="00C55436" w:rsidRPr="00F14A8F" w:rsidRDefault="00C55436" w:rsidP="00C55436">
            <w:pPr>
              <w:widowControl w:val="0"/>
              <w:rPr>
                <w:szCs w:val="24"/>
              </w:rPr>
            </w:pPr>
            <w:r w:rsidRPr="00F14A8F">
              <w:rPr>
                <w:szCs w:val="24"/>
              </w:rPr>
              <w:t xml:space="preserve">Services Agreement with </w:t>
            </w:r>
            <w:r w:rsidRPr="00C55436">
              <w:rPr>
                <w:szCs w:val="24"/>
              </w:rPr>
              <w:t>Olsson re</w:t>
            </w:r>
            <w:r>
              <w:rPr>
                <w:szCs w:val="24"/>
              </w:rPr>
              <w:t>garding</w:t>
            </w:r>
            <w:r w:rsidRPr="00C55436">
              <w:rPr>
                <w:szCs w:val="24"/>
              </w:rPr>
              <w:t xml:space="preserve"> Master Utility Study</w:t>
            </w:r>
          </w:p>
        </w:tc>
        <w:tc>
          <w:tcPr>
            <w:tcW w:w="6708" w:type="dxa"/>
          </w:tcPr>
          <w:p w14:paraId="3383CF98" w14:textId="1FE49E2A" w:rsidR="00C55436" w:rsidRPr="00F14A8F" w:rsidRDefault="00C55436" w:rsidP="00C55436">
            <w:pPr>
              <w:pStyle w:val="BodyText"/>
              <w:rPr>
                <w:szCs w:val="24"/>
              </w:rPr>
            </w:pPr>
            <w:r w:rsidRPr="00F14A8F">
              <w:rPr>
                <w:szCs w:val="24"/>
              </w:rPr>
              <w:t xml:space="preserve">Mr. Ruhland discussed the Services Agreement with </w:t>
            </w:r>
            <w:r w:rsidRPr="00C55436">
              <w:rPr>
                <w:szCs w:val="24"/>
              </w:rPr>
              <w:t>Olsson re</w:t>
            </w:r>
            <w:r>
              <w:rPr>
                <w:szCs w:val="24"/>
              </w:rPr>
              <w:t>garding</w:t>
            </w:r>
            <w:r w:rsidRPr="00C55436">
              <w:rPr>
                <w:szCs w:val="24"/>
              </w:rPr>
              <w:t xml:space="preserve"> Master Utility Study </w:t>
            </w:r>
            <w:r w:rsidRPr="00F14A8F">
              <w:rPr>
                <w:szCs w:val="24"/>
              </w:rPr>
              <w:t xml:space="preserve">with the Board. Following discussion, a motion duly made by President Fellows, seconded by Director O’Connor, the Board approved the Services Agreement with </w:t>
            </w:r>
            <w:r>
              <w:rPr>
                <w:szCs w:val="24"/>
              </w:rPr>
              <w:t>Olsson.</w:t>
            </w:r>
          </w:p>
          <w:p w14:paraId="04B279A0" w14:textId="77777777" w:rsidR="00C55436" w:rsidRPr="00F14A8F" w:rsidRDefault="00C55436" w:rsidP="00C55436">
            <w:pPr>
              <w:pStyle w:val="BodyText"/>
              <w:rPr>
                <w:szCs w:val="24"/>
              </w:rPr>
            </w:pPr>
          </w:p>
        </w:tc>
      </w:tr>
      <w:tr w:rsidR="00143CC1" w:rsidRPr="00F14A8F" w14:paraId="45A4D61D" w14:textId="77777777" w:rsidTr="00F21E28">
        <w:tc>
          <w:tcPr>
            <w:tcW w:w="2868" w:type="dxa"/>
          </w:tcPr>
          <w:p w14:paraId="3B1A9FFF" w14:textId="77777777" w:rsidR="00143CC1" w:rsidRDefault="00C55436" w:rsidP="00F16402">
            <w:pPr>
              <w:widowControl w:val="0"/>
              <w:rPr>
                <w:szCs w:val="24"/>
              </w:rPr>
            </w:pPr>
            <w:r>
              <w:rPr>
                <w:szCs w:val="24"/>
              </w:rPr>
              <w:t>Contract with DLR Group, Inc. regarding Windler Community Center</w:t>
            </w:r>
          </w:p>
          <w:p w14:paraId="0960FF4D" w14:textId="6C420083" w:rsidR="00C55436" w:rsidRPr="00F14A8F" w:rsidRDefault="00C55436" w:rsidP="00F16402">
            <w:pPr>
              <w:widowControl w:val="0"/>
              <w:rPr>
                <w:szCs w:val="24"/>
              </w:rPr>
            </w:pPr>
          </w:p>
        </w:tc>
        <w:tc>
          <w:tcPr>
            <w:tcW w:w="6708" w:type="dxa"/>
          </w:tcPr>
          <w:p w14:paraId="692EDB6D" w14:textId="5C3B5BEA" w:rsidR="00143CC1" w:rsidRPr="00F14A8F" w:rsidRDefault="00C55436" w:rsidP="00424611">
            <w:pPr>
              <w:pStyle w:val="BodyTextIndent3"/>
              <w:keepNext/>
              <w:keepLines/>
              <w:widowControl/>
              <w:ind w:left="0" w:firstLine="0"/>
              <w:rPr>
                <w:rFonts w:ascii="Times New Roman" w:hAnsi="Times New Roman"/>
                <w:szCs w:val="24"/>
              </w:rPr>
            </w:pPr>
            <w:r>
              <w:rPr>
                <w:rFonts w:ascii="Times New Roman" w:hAnsi="Times New Roman"/>
                <w:szCs w:val="24"/>
              </w:rPr>
              <w:t xml:space="preserve">Deferred. </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3650B0E2" w:rsidR="00375259" w:rsidRPr="00F14A8F" w:rsidRDefault="00A71871">
      <w:pPr>
        <w:keepNext/>
        <w:keepLines/>
        <w:suppressAutoHyphens/>
        <w:ind w:left="3150"/>
        <w:jc w:val="both"/>
        <w:rPr>
          <w:spacing w:val="-3"/>
          <w:szCs w:val="24"/>
          <w:u w:val="single"/>
        </w:rPr>
      </w:pPr>
      <w:r w:rsidRPr="00F14A8F">
        <w:rPr>
          <w:spacing w:val="-3"/>
          <w:szCs w:val="24"/>
          <w:u w:val="single"/>
        </w:rPr>
        <w:tab/>
      </w:r>
      <w:r w:rsidR="009B5A88" w:rsidRPr="009B5A88">
        <w:rPr>
          <w:noProof/>
          <w:spacing w:val="-3"/>
          <w:szCs w:val="24"/>
          <w:u w:val="single"/>
        </w:rPr>
        <w:drawing>
          <wp:inline distT="0" distB="0" distL="0" distR="0" wp14:anchorId="509E9DE6" wp14:editId="701C6B8D">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69B4BF6C" w:rsidR="00143506" w:rsidRPr="00143506" w:rsidRDefault="00972146">
    <w:pPr>
      <w:pStyle w:val="Footer"/>
    </w:pPr>
    <w:r w:rsidRPr="00972146">
      <w:rPr>
        <w:noProof/>
      </w:rPr>
      <w:t>{00859753.DOCX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97843"/>
    <w:rsid w:val="00424611"/>
    <w:rsid w:val="00437BFD"/>
    <w:rsid w:val="00484CE6"/>
    <w:rsid w:val="005213F3"/>
    <w:rsid w:val="00522CA9"/>
    <w:rsid w:val="00542E37"/>
    <w:rsid w:val="0057751F"/>
    <w:rsid w:val="006368E0"/>
    <w:rsid w:val="00652DA2"/>
    <w:rsid w:val="006650A8"/>
    <w:rsid w:val="006D5DD4"/>
    <w:rsid w:val="006E27F0"/>
    <w:rsid w:val="00767246"/>
    <w:rsid w:val="007F3F9F"/>
    <w:rsid w:val="00810F01"/>
    <w:rsid w:val="00834728"/>
    <w:rsid w:val="008509D3"/>
    <w:rsid w:val="008B7236"/>
    <w:rsid w:val="00925417"/>
    <w:rsid w:val="00950437"/>
    <w:rsid w:val="00970904"/>
    <w:rsid w:val="00972146"/>
    <w:rsid w:val="009B5A88"/>
    <w:rsid w:val="009C248F"/>
    <w:rsid w:val="00A02B61"/>
    <w:rsid w:val="00A077EA"/>
    <w:rsid w:val="00A37AB4"/>
    <w:rsid w:val="00A65CD5"/>
    <w:rsid w:val="00A71871"/>
    <w:rsid w:val="00B005F0"/>
    <w:rsid w:val="00B43260"/>
    <w:rsid w:val="00B611CF"/>
    <w:rsid w:val="00B64DAC"/>
    <w:rsid w:val="00BC0F35"/>
    <w:rsid w:val="00C15CED"/>
    <w:rsid w:val="00C55436"/>
    <w:rsid w:val="00C770CD"/>
    <w:rsid w:val="00CA0113"/>
    <w:rsid w:val="00CA3EA0"/>
    <w:rsid w:val="00CB0716"/>
    <w:rsid w:val="00CB54ED"/>
    <w:rsid w:val="00D676D5"/>
    <w:rsid w:val="00D72C23"/>
    <w:rsid w:val="00DF4DE3"/>
    <w:rsid w:val="00E40996"/>
    <w:rsid w:val="00EC6DE6"/>
    <w:rsid w:val="00EC77CB"/>
    <w:rsid w:val="00F14A8F"/>
    <w:rsid w:val="00F16402"/>
    <w:rsid w:val="00F21E28"/>
    <w:rsid w:val="00F431E9"/>
    <w:rsid w:val="00F73258"/>
    <w:rsid w:val="00F9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745</Words>
  <Characters>4189</Characters>
  <Application>Microsoft Office Word</Application>
  <DocSecurity>0</DocSecurity>
  <PresentationFormat/>
  <Lines>143</Lines>
  <Paragraphs>44</Paragraphs>
  <ScaleCrop>false</ScaleCrop>
  <HeadingPairs>
    <vt:vector size="2" baseType="variant">
      <vt:variant>
        <vt:lpstr>Title</vt:lpstr>
      </vt:variant>
      <vt:variant>
        <vt:i4>1</vt:i4>
      </vt:variant>
    </vt:vector>
  </HeadingPairs>
  <TitlesOfParts>
    <vt:vector size="1" baseType="lpstr">
      <vt:lpstr>2021-10-21 Regular (00859753-2).DOCX</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2021-10-21 Regular (00859753-2).DOCX</dc:title>
  <dc:subject>00859753.DOCX / 2 /font=8</dc:subject>
  <cp:lastModifiedBy>Kristin Herndon</cp:lastModifiedBy>
  <cp:revision>11</cp:revision>
  <cp:lastPrinted>2019-01-28T16:17:00Z</cp:lastPrinted>
  <dcterms:created xsi:type="dcterms:W3CDTF">2021-11-04T21:34:00Z</dcterms:created>
  <dcterms:modified xsi:type="dcterms:W3CDTF">2022-04-14T17:29:00Z</dcterms:modified>
</cp:coreProperties>
</file>