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441459C0" w:rsidR="00375259" w:rsidRPr="006406B6" w:rsidRDefault="00A71871">
      <w:pPr>
        <w:pStyle w:val="BodyTextIndent"/>
        <w:rPr>
          <w:szCs w:val="24"/>
        </w:rPr>
      </w:pPr>
      <w:r w:rsidRPr="006406B6">
        <w:rPr>
          <w:szCs w:val="24"/>
        </w:rPr>
        <w:tab/>
        <w:t xml:space="preserve">MINUTES OF THE </w:t>
      </w:r>
      <w:r w:rsidR="00874131">
        <w:rPr>
          <w:szCs w:val="24"/>
        </w:rPr>
        <w:t>SPECIAL</w:t>
      </w:r>
      <w:r w:rsidRPr="006406B6">
        <w:rPr>
          <w:szCs w:val="24"/>
        </w:rPr>
        <w:t xml:space="preserve"> MEETING OF THE BOARD OF DIRECTORS</w:t>
      </w:r>
    </w:p>
    <w:p w14:paraId="5BAA437C" w14:textId="77777777" w:rsidR="00375259" w:rsidRPr="006406B6" w:rsidRDefault="00375259">
      <w:pPr>
        <w:tabs>
          <w:tab w:val="left" w:pos="3168"/>
          <w:tab w:val="left" w:pos="4176"/>
        </w:tabs>
        <w:suppressAutoHyphens/>
        <w:jc w:val="both"/>
        <w:rPr>
          <w:spacing w:val="-3"/>
          <w:szCs w:val="24"/>
        </w:rPr>
      </w:pPr>
    </w:p>
    <w:p w14:paraId="2DEBDED7" w14:textId="77777777" w:rsidR="00375259" w:rsidRPr="006406B6" w:rsidRDefault="00A71871">
      <w:pPr>
        <w:tabs>
          <w:tab w:val="left" w:pos="3168"/>
          <w:tab w:val="left" w:pos="4176"/>
        </w:tabs>
        <w:suppressAutoHyphens/>
        <w:jc w:val="both"/>
        <w:rPr>
          <w:spacing w:val="-3"/>
          <w:szCs w:val="24"/>
        </w:rPr>
      </w:pPr>
      <w:r w:rsidRPr="006406B6">
        <w:rPr>
          <w:spacing w:val="-3"/>
          <w:szCs w:val="24"/>
        </w:rPr>
        <w:tab/>
        <w:t>OF THE</w:t>
      </w:r>
    </w:p>
    <w:p w14:paraId="4CD09C12" w14:textId="77777777" w:rsidR="00375259" w:rsidRPr="006406B6" w:rsidRDefault="00375259">
      <w:pPr>
        <w:tabs>
          <w:tab w:val="left" w:pos="3168"/>
          <w:tab w:val="left" w:pos="4176"/>
        </w:tabs>
        <w:suppressAutoHyphens/>
        <w:jc w:val="both"/>
        <w:rPr>
          <w:spacing w:val="-3"/>
          <w:szCs w:val="24"/>
        </w:rPr>
      </w:pPr>
    </w:p>
    <w:p w14:paraId="3D9D9D0E" w14:textId="65B3681B" w:rsidR="000564FA" w:rsidRPr="006406B6" w:rsidRDefault="00A71871" w:rsidP="00F959C4">
      <w:pPr>
        <w:tabs>
          <w:tab w:val="left" w:pos="3168"/>
          <w:tab w:val="left" w:pos="4176"/>
        </w:tabs>
        <w:suppressAutoHyphens/>
        <w:ind w:left="3168" w:hanging="3168"/>
        <w:jc w:val="both"/>
        <w:rPr>
          <w:spacing w:val="-3"/>
          <w:szCs w:val="24"/>
        </w:rPr>
      </w:pPr>
      <w:r w:rsidRPr="006406B6">
        <w:rPr>
          <w:spacing w:val="-3"/>
          <w:szCs w:val="24"/>
        </w:rPr>
        <w:tab/>
      </w:r>
      <w:r w:rsidR="00143CC1" w:rsidRPr="006406B6">
        <w:rPr>
          <w:spacing w:val="-3"/>
          <w:szCs w:val="24"/>
        </w:rPr>
        <w:t>WINDLER</w:t>
      </w:r>
      <w:r w:rsidR="00312817" w:rsidRPr="006406B6">
        <w:rPr>
          <w:spacing w:val="-3"/>
          <w:szCs w:val="24"/>
        </w:rPr>
        <w:t xml:space="preserve"> PUBLIC IMPROVEMENT AUTHORITY</w:t>
      </w:r>
    </w:p>
    <w:p w14:paraId="76BEC48D" w14:textId="77777777" w:rsidR="00375259" w:rsidRPr="006406B6" w:rsidRDefault="00375259">
      <w:pPr>
        <w:tabs>
          <w:tab w:val="left" w:pos="3168"/>
          <w:tab w:val="left" w:pos="4176"/>
        </w:tabs>
        <w:suppressAutoHyphens/>
        <w:jc w:val="both"/>
        <w:rPr>
          <w:spacing w:val="-3"/>
          <w:szCs w:val="24"/>
        </w:rPr>
      </w:pPr>
    </w:p>
    <w:p w14:paraId="201AAED7" w14:textId="3B2F4031" w:rsidR="00EC77CB" w:rsidRPr="006406B6" w:rsidRDefault="00EC77CB" w:rsidP="00EF0594">
      <w:pPr>
        <w:tabs>
          <w:tab w:val="left" w:pos="3168"/>
          <w:tab w:val="left" w:pos="4176"/>
        </w:tabs>
        <w:suppressAutoHyphens/>
        <w:ind w:left="4176" w:hanging="4176"/>
        <w:rPr>
          <w:spacing w:val="-3"/>
          <w:szCs w:val="24"/>
        </w:rPr>
      </w:pPr>
      <w:r w:rsidRPr="006406B6">
        <w:rPr>
          <w:spacing w:val="-3"/>
          <w:szCs w:val="24"/>
        </w:rPr>
        <w:tab/>
        <w:t>Held:</w:t>
      </w:r>
      <w:r w:rsidRPr="006406B6">
        <w:rPr>
          <w:spacing w:val="-3"/>
          <w:szCs w:val="24"/>
        </w:rPr>
        <w:tab/>
      </w:r>
      <w:r w:rsidR="006B4367">
        <w:rPr>
          <w:spacing w:val="-3"/>
          <w:szCs w:val="24"/>
        </w:rPr>
        <w:t>Friday, February 24</w:t>
      </w:r>
      <w:r w:rsidR="0038774A" w:rsidRPr="006406B6">
        <w:rPr>
          <w:spacing w:val="-3"/>
          <w:szCs w:val="24"/>
        </w:rPr>
        <w:t>, 202</w:t>
      </w:r>
      <w:r w:rsidR="00032FE6">
        <w:rPr>
          <w:spacing w:val="-3"/>
          <w:szCs w:val="24"/>
        </w:rPr>
        <w:t>3</w:t>
      </w:r>
      <w:r w:rsidR="00143506" w:rsidRPr="006406B6">
        <w:rPr>
          <w:spacing w:val="-3"/>
          <w:szCs w:val="24"/>
        </w:rPr>
        <w:t>,</w:t>
      </w:r>
      <w:r w:rsidR="00A71871" w:rsidRPr="006406B6">
        <w:rPr>
          <w:spacing w:val="-3"/>
          <w:szCs w:val="24"/>
        </w:rPr>
        <w:t xml:space="preserve"> at </w:t>
      </w:r>
      <w:r w:rsidR="00032FE6">
        <w:rPr>
          <w:spacing w:val="-3"/>
          <w:szCs w:val="24"/>
        </w:rPr>
        <w:t>12:15</w:t>
      </w:r>
      <w:r w:rsidR="006F0F67" w:rsidRPr="006406B6">
        <w:rPr>
          <w:spacing w:val="-3"/>
          <w:szCs w:val="24"/>
        </w:rPr>
        <w:t xml:space="preserve"> p</w:t>
      </w:r>
      <w:r w:rsidR="00A71871" w:rsidRPr="006406B6">
        <w:rPr>
          <w:spacing w:val="-3"/>
          <w:szCs w:val="24"/>
        </w:rPr>
        <w:t>.m</w:t>
      </w:r>
      <w:r w:rsidRPr="006406B6">
        <w:rPr>
          <w:spacing w:val="-3"/>
          <w:szCs w:val="24"/>
        </w:rPr>
        <w:t>.</w:t>
      </w:r>
      <w:r w:rsidR="006F0F67" w:rsidRPr="006406B6">
        <w:rPr>
          <w:spacing w:val="-3"/>
          <w:szCs w:val="24"/>
        </w:rPr>
        <w:t>,</w:t>
      </w:r>
      <w:r w:rsidR="006F0F67" w:rsidRPr="006406B6">
        <w:t xml:space="preserve"> </w:t>
      </w:r>
      <w:r w:rsidR="006F0F67" w:rsidRPr="006406B6">
        <w:rPr>
          <w:spacing w:val="-3"/>
          <w:szCs w:val="24"/>
        </w:rPr>
        <w:t>5750 DTC Parkway, Suite 210, Greenwood Village, Colorado and</w:t>
      </w:r>
      <w:r w:rsidRPr="006406B6">
        <w:rPr>
          <w:spacing w:val="-3"/>
          <w:szCs w:val="24"/>
        </w:rPr>
        <w:t xml:space="preserve"> </w:t>
      </w:r>
      <w:r w:rsidR="00EF0594" w:rsidRPr="006406B6">
        <w:rPr>
          <w:spacing w:val="-3"/>
          <w:szCs w:val="24"/>
        </w:rPr>
        <w:t>via zoom link</w:t>
      </w:r>
      <w:r w:rsidRPr="006406B6">
        <w:rPr>
          <w:spacing w:val="-3"/>
          <w:szCs w:val="24"/>
        </w:rPr>
        <w:t>.</w:t>
      </w:r>
    </w:p>
    <w:p w14:paraId="5646C3F2" w14:textId="77777777" w:rsidR="00375259" w:rsidRPr="006406B6" w:rsidRDefault="00A71871">
      <w:pPr>
        <w:keepLines/>
        <w:tabs>
          <w:tab w:val="left" w:pos="5640"/>
        </w:tabs>
        <w:jc w:val="both"/>
        <w:rPr>
          <w:szCs w:val="24"/>
        </w:rPr>
      </w:pPr>
      <w:r w:rsidRPr="006406B6">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6406B6" w:rsidRPr="006406B6" w14:paraId="3A012EFB" w14:textId="77777777" w:rsidTr="00F21E28">
        <w:tc>
          <w:tcPr>
            <w:tcW w:w="2868" w:type="dxa"/>
          </w:tcPr>
          <w:p w14:paraId="73D8089B" w14:textId="77777777" w:rsidR="00375259" w:rsidRPr="006406B6" w:rsidRDefault="00A71871">
            <w:pPr>
              <w:widowControl w:val="0"/>
              <w:jc w:val="both"/>
              <w:rPr>
                <w:szCs w:val="24"/>
              </w:rPr>
            </w:pPr>
            <w:r w:rsidRPr="006406B6">
              <w:rPr>
                <w:szCs w:val="24"/>
              </w:rPr>
              <w:t>Attendance</w:t>
            </w:r>
          </w:p>
        </w:tc>
        <w:tc>
          <w:tcPr>
            <w:tcW w:w="6708" w:type="dxa"/>
          </w:tcPr>
          <w:p w14:paraId="41CF1F84" w14:textId="162CA35E" w:rsidR="00375259" w:rsidRPr="006406B6"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6406B6">
              <w:rPr>
                <w:spacing w:val="-3"/>
                <w:szCs w:val="24"/>
              </w:rPr>
              <w:t xml:space="preserve">The </w:t>
            </w:r>
            <w:r w:rsidR="006B4367">
              <w:rPr>
                <w:spacing w:val="-3"/>
                <w:szCs w:val="24"/>
              </w:rPr>
              <w:t>special</w:t>
            </w:r>
            <w:r w:rsidR="00FB71C1" w:rsidRPr="006406B6">
              <w:rPr>
                <w:spacing w:val="-3"/>
                <w:szCs w:val="24"/>
              </w:rPr>
              <w:t xml:space="preserve"> </w:t>
            </w:r>
            <w:r w:rsidRPr="006406B6">
              <w:rPr>
                <w:spacing w:val="-3"/>
                <w:szCs w:val="24"/>
              </w:rPr>
              <w:t xml:space="preserve">meeting of the Board of Directors (the “Board”) of the </w:t>
            </w:r>
            <w:r w:rsidR="00143CC1" w:rsidRPr="006406B6">
              <w:rPr>
                <w:spacing w:val="-3"/>
                <w:szCs w:val="24"/>
              </w:rPr>
              <w:t>Windler</w:t>
            </w:r>
            <w:r w:rsidR="00312817" w:rsidRPr="006406B6">
              <w:rPr>
                <w:spacing w:val="-3"/>
                <w:szCs w:val="24"/>
              </w:rPr>
              <w:t xml:space="preserve"> Public Improvement Authority</w:t>
            </w:r>
            <w:r w:rsidR="000564FA" w:rsidRPr="006406B6">
              <w:rPr>
                <w:spacing w:val="-3"/>
                <w:szCs w:val="24"/>
              </w:rPr>
              <w:t xml:space="preserve"> </w:t>
            </w:r>
            <w:r w:rsidRPr="006406B6">
              <w:rPr>
                <w:spacing w:val="-3"/>
                <w:szCs w:val="24"/>
              </w:rPr>
              <w:t>(the “</w:t>
            </w:r>
            <w:r w:rsidR="00652DA2" w:rsidRPr="006406B6">
              <w:rPr>
                <w:spacing w:val="-3"/>
                <w:szCs w:val="24"/>
              </w:rPr>
              <w:t>Authority</w:t>
            </w:r>
            <w:r w:rsidRPr="006406B6">
              <w:rPr>
                <w:spacing w:val="-3"/>
                <w:szCs w:val="24"/>
              </w:rPr>
              <w:t>”) was called and held as shown in accordance with the Colorado law.  The following directors confirmed their qualification to serve on the Board:</w:t>
            </w:r>
          </w:p>
          <w:p w14:paraId="41F8D283" w14:textId="77777777" w:rsidR="00375259" w:rsidRPr="006406B6" w:rsidRDefault="00375259">
            <w:pPr>
              <w:tabs>
                <w:tab w:val="left" w:pos="3168"/>
                <w:tab w:val="left" w:pos="4176"/>
              </w:tabs>
              <w:suppressAutoHyphens/>
              <w:ind w:left="4176" w:hanging="4176"/>
              <w:jc w:val="both"/>
              <w:rPr>
                <w:spacing w:val="-3"/>
                <w:szCs w:val="24"/>
              </w:rPr>
            </w:pPr>
          </w:p>
          <w:p w14:paraId="7DC8A945" w14:textId="1E53C608" w:rsidR="006B4367" w:rsidRPr="006406B6" w:rsidRDefault="006B4367" w:rsidP="006B4367">
            <w:pPr>
              <w:tabs>
                <w:tab w:val="left" w:pos="792"/>
                <w:tab w:val="left" w:pos="3168"/>
                <w:tab w:val="left" w:pos="4176"/>
              </w:tabs>
              <w:suppressAutoHyphens/>
              <w:ind w:left="4176" w:hanging="3384"/>
              <w:jc w:val="both"/>
              <w:rPr>
                <w:spacing w:val="-3"/>
                <w:szCs w:val="24"/>
              </w:rPr>
            </w:pPr>
            <w:r>
              <w:rPr>
                <w:spacing w:val="-3"/>
                <w:szCs w:val="24"/>
              </w:rPr>
              <w:t>Chris Fellows (via Zoom)</w:t>
            </w:r>
          </w:p>
          <w:p w14:paraId="01B0B0FA" w14:textId="1AEAB49A" w:rsidR="00375259" w:rsidRPr="006406B6" w:rsidRDefault="00C43C4F">
            <w:pPr>
              <w:tabs>
                <w:tab w:val="left" w:pos="792"/>
                <w:tab w:val="left" w:pos="3168"/>
                <w:tab w:val="left" w:pos="4176"/>
              </w:tabs>
              <w:suppressAutoHyphens/>
              <w:ind w:left="4176" w:hanging="3384"/>
              <w:jc w:val="both"/>
              <w:rPr>
                <w:spacing w:val="-3"/>
                <w:szCs w:val="24"/>
              </w:rPr>
            </w:pPr>
            <w:r>
              <w:rPr>
                <w:spacing w:val="-3"/>
                <w:szCs w:val="24"/>
              </w:rPr>
              <w:t>Tim O’Connor</w:t>
            </w:r>
          </w:p>
          <w:p w14:paraId="17C24D11" w14:textId="52D3C0AB" w:rsidR="005F5C1A" w:rsidRDefault="008E3F7C" w:rsidP="005517D6">
            <w:pPr>
              <w:tabs>
                <w:tab w:val="left" w:pos="792"/>
                <w:tab w:val="left" w:pos="3168"/>
                <w:tab w:val="left" w:pos="4176"/>
              </w:tabs>
              <w:suppressAutoHyphens/>
              <w:ind w:left="4176" w:hanging="3384"/>
              <w:jc w:val="both"/>
              <w:rPr>
                <w:spacing w:val="-3"/>
                <w:szCs w:val="24"/>
              </w:rPr>
            </w:pPr>
            <w:r w:rsidRPr="008E3F7C">
              <w:rPr>
                <w:i/>
                <w:spacing w:val="-3"/>
                <w:szCs w:val="24"/>
              </w:rPr>
              <w:t>*</w:t>
            </w:r>
            <w:r w:rsidR="005F5C1A" w:rsidRPr="006406B6">
              <w:rPr>
                <w:spacing w:val="-3"/>
                <w:szCs w:val="24"/>
              </w:rPr>
              <w:t>Tom Kaufman</w:t>
            </w:r>
            <w:r w:rsidR="00FB0534">
              <w:rPr>
                <w:spacing w:val="-3"/>
                <w:szCs w:val="24"/>
              </w:rPr>
              <w:t xml:space="preserve"> (via telephone) </w:t>
            </w:r>
          </w:p>
          <w:p w14:paraId="09F6596A" w14:textId="4AD0E73D" w:rsidR="008E3F7C" w:rsidRDefault="008E3F7C" w:rsidP="005517D6">
            <w:pPr>
              <w:tabs>
                <w:tab w:val="left" w:pos="792"/>
                <w:tab w:val="left" w:pos="3168"/>
                <w:tab w:val="left" w:pos="4176"/>
              </w:tabs>
              <w:suppressAutoHyphens/>
              <w:ind w:left="4176" w:hanging="3384"/>
              <w:jc w:val="both"/>
              <w:rPr>
                <w:spacing w:val="-3"/>
                <w:szCs w:val="24"/>
              </w:rPr>
            </w:pPr>
          </w:p>
          <w:p w14:paraId="4B43DDAF" w14:textId="22DF3085" w:rsidR="008E3F7C" w:rsidRDefault="008E3F7C" w:rsidP="005517D6">
            <w:pPr>
              <w:tabs>
                <w:tab w:val="left" w:pos="792"/>
                <w:tab w:val="left" w:pos="3168"/>
                <w:tab w:val="left" w:pos="4176"/>
              </w:tabs>
              <w:suppressAutoHyphens/>
              <w:ind w:left="4176" w:hanging="3384"/>
              <w:jc w:val="both"/>
              <w:rPr>
                <w:spacing w:val="-3"/>
                <w:szCs w:val="24"/>
              </w:rPr>
            </w:pPr>
            <w:r w:rsidRPr="008E3F7C">
              <w:rPr>
                <w:i/>
                <w:spacing w:val="-3"/>
                <w:szCs w:val="24"/>
              </w:rPr>
              <w:t>*arrived where noted</w:t>
            </w:r>
          </w:p>
          <w:p w14:paraId="42DD4572" w14:textId="3DBE0593" w:rsidR="00DC6D86" w:rsidRDefault="00DC6D86" w:rsidP="005517D6">
            <w:pPr>
              <w:tabs>
                <w:tab w:val="left" w:pos="792"/>
                <w:tab w:val="left" w:pos="3168"/>
                <w:tab w:val="left" w:pos="4176"/>
              </w:tabs>
              <w:suppressAutoHyphens/>
              <w:ind w:left="4176" w:hanging="3384"/>
              <w:jc w:val="both"/>
              <w:rPr>
                <w:spacing w:val="-3"/>
                <w:szCs w:val="24"/>
              </w:rPr>
            </w:pPr>
          </w:p>
          <w:p w14:paraId="21391B26" w14:textId="77777777" w:rsidR="00DC6D86" w:rsidRPr="006406B6" w:rsidRDefault="00DC6D86" w:rsidP="00DC6D86">
            <w:pPr>
              <w:tabs>
                <w:tab w:val="left" w:pos="792"/>
                <w:tab w:val="left" w:pos="3168"/>
                <w:tab w:val="left" w:pos="4176"/>
              </w:tabs>
              <w:suppressAutoHyphens/>
              <w:ind w:left="4176" w:hanging="3384"/>
              <w:jc w:val="both"/>
              <w:rPr>
                <w:spacing w:val="-3"/>
                <w:szCs w:val="24"/>
              </w:rPr>
            </w:pPr>
            <w:r w:rsidRPr="006406B6">
              <w:rPr>
                <w:spacing w:val="-3"/>
                <w:szCs w:val="24"/>
                <w:u w:val="single"/>
              </w:rPr>
              <w:t>Absent (Excused)</w:t>
            </w:r>
            <w:r w:rsidRPr="006406B6">
              <w:rPr>
                <w:spacing w:val="-3"/>
                <w:szCs w:val="24"/>
              </w:rPr>
              <w:t>:</w:t>
            </w:r>
          </w:p>
          <w:p w14:paraId="3DE8A61A" w14:textId="756643A7" w:rsidR="00DC6D86" w:rsidRPr="006406B6" w:rsidRDefault="00DC6D86" w:rsidP="005517D6">
            <w:pPr>
              <w:tabs>
                <w:tab w:val="left" w:pos="792"/>
                <w:tab w:val="left" w:pos="3168"/>
                <w:tab w:val="left" w:pos="4176"/>
              </w:tabs>
              <w:suppressAutoHyphens/>
              <w:ind w:left="4176" w:hanging="3384"/>
              <w:jc w:val="both"/>
              <w:rPr>
                <w:spacing w:val="-3"/>
                <w:szCs w:val="24"/>
              </w:rPr>
            </w:pPr>
          </w:p>
          <w:p w14:paraId="56279678" w14:textId="77777777" w:rsidR="00375259" w:rsidRPr="006406B6" w:rsidRDefault="00375259">
            <w:pPr>
              <w:tabs>
                <w:tab w:val="left" w:pos="0"/>
                <w:tab w:val="left" w:pos="792"/>
                <w:tab w:val="left" w:pos="3168"/>
              </w:tabs>
              <w:suppressAutoHyphens/>
              <w:jc w:val="both"/>
              <w:rPr>
                <w:spacing w:val="-3"/>
                <w:szCs w:val="24"/>
              </w:rPr>
            </w:pPr>
          </w:p>
          <w:p w14:paraId="46F42B61" w14:textId="55476246" w:rsidR="00D06115" w:rsidRPr="00CB5DD8" w:rsidRDefault="00D06115" w:rsidP="00D06115">
            <w:pPr>
              <w:tabs>
                <w:tab w:val="left" w:pos="792"/>
                <w:tab w:val="left" w:pos="3168"/>
                <w:tab w:val="left" w:pos="4176"/>
              </w:tabs>
              <w:suppressAutoHyphens/>
              <w:jc w:val="both"/>
              <w:rPr>
                <w:szCs w:val="24"/>
              </w:rPr>
            </w:pPr>
            <w:r w:rsidRPr="00CB5DD8">
              <w:rPr>
                <w:szCs w:val="24"/>
              </w:rPr>
              <w:t>Also present were M</w:t>
            </w:r>
            <w:r w:rsidR="003C1DAD">
              <w:rPr>
                <w:szCs w:val="24"/>
              </w:rPr>
              <w:t>s. Phi</w:t>
            </w:r>
            <w:r w:rsidR="00492444">
              <w:rPr>
                <w:szCs w:val="24"/>
              </w:rPr>
              <w:t>l</w:t>
            </w:r>
            <w:r w:rsidR="003C1DAD">
              <w:rPr>
                <w:szCs w:val="24"/>
              </w:rPr>
              <w:t>lips</w:t>
            </w:r>
            <w:r w:rsidRPr="00CB5DD8">
              <w:rPr>
                <w:szCs w:val="24"/>
              </w:rPr>
              <w:t xml:space="preserve"> of Cockrel Ela Glesne Greher &amp; Ruhland, P.C.</w:t>
            </w:r>
            <w:r w:rsidR="00FB71C1">
              <w:rPr>
                <w:szCs w:val="24"/>
              </w:rPr>
              <w:t xml:space="preserve"> (via Zoom)</w:t>
            </w:r>
            <w:r w:rsidRPr="00CB5DD8">
              <w:rPr>
                <w:szCs w:val="24"/>
              </w:rPr>
              <w:t>;</w:t>
            </w:r>
            <w:r w:rsidR="003C1DAD">
              <w:rPr>
                <w:szCs w:val="24"/>
              </w:rPr>
              <w:t xml:space="preserve"> Matt Ruhland of </w:t>
            </w:r>
            <w:r w:rsidR="003C1DAD" w:rsidRPr="003C1DAD">
              <w:rPr>
                <w:szCs w:val="24"/>
              </w:rPr>
              <w:t>Cockrel Ela Glesne Greher &amp; Ruhland, P.C.</w:t>
            </w:r>
            <w:r w:rsidR="00F763A6">
              <w:rPr>
                <w:szCs w:val="24"/>
              </w:rPr>
              <w:t xml:space="preserve"> (via telephone);</w:t>
            </w:r>
            <w:r w:rsidRPr="00CB5DD8">
              <w:rPr>
                <w:szCs w:val="24"/>
              </w:rPr>
              <w:t xml:space="preserve"> Diane Wheeler of Simmons &amp; Wheeler, P.C.; Barney Fix of Merrick &amp; Company</w:t>
            </w:r>
            <w:r w:rsidR="00F763A6">
              <w:rPr>
                <w:szCs w:val="24"/>
              </w:rPr>
              <w:t xml:space="preserve"> (via Zoom)</w:t>
            </w:r>
            <w:r w:rsidRPr="00CB5DD8">
              <w:rPr>
                <w:szCs w:val="24"/>
              </w:rPr>
              <w:t>; Clint Waldron of White Bear Ankele Tanaka &amp; Waldron (via Zoom)</w:t>
            </w:r>
            <w:r w:rsidRPr="00CB5DD8">
              <w:rPr>
                <w:spacing w:val="-3"/>
                <w:szCs w:val="24"/>
              </w:rPr>
              <w:t>;</w:t>
            </w:r>
            <w:r>
              <w:rPr>
                <w:spacing w:val="-3"/>
                <w:szCs w:val="24"/>
              </w:rPr>
              <w:t xml:space="preserve"> </w:t>
            </w:r>
            <w:r w:rsidR="00894CB6">
              <w:rPr>
                <w:spacing w:val="-3"/>
                <w:szCs w:val="24"/>
              </w:rPr>
              <w:t xml:space="preserve">Stephen Gurr </w:t>
            </w:r>
            <w:r w:rsidR="00894CB6">
              <w:t xml:space="preserve">of </w:t>
            </w:r>
            <w:r w:rsidR="00894CB6" w:rsidRPr="006439DE">
              <w:t>Polsinelli, P.C</w:t>
            </w:r>
            <w:r w:rsidR="00894CB6">
              <w:rPr>
                <w:spacing w:val="-3"/>
                <w:szCs w:val="24"/>
              </w:rPr>
              <w:t xml:space="preserve">. (via Zoom); </w:t>
            </w:r>
            <w:r w:rsidR="00746447">
              <w:rPr>
                <w:spacing w:val="-3"/>
                <w:szCs w:val="24"/>
              </w:rPr>
              <w:t>Kent Krause</w:t>
            </w:r>
            <w:r w:rsidR="00AA4757">
              <w:rPr>
                <w:spacing w:val="-3"/>
                <w:szCs w:val="24"/>
              </w:rPr>
              <w:t xml:space="preserve"> and Britta Scurle</w:t>
            </w:r>
            <w:r w:rsidR="00BF7292">
              <w:rPr>
                <w:spacing w:val="-3"/>
                <w:szCs w:val="24"/>
              </w:rPr>
              <w:t xml:space="preserve"> of Advanced HOA</w:t>
            </w:r>
            <w:r w:rsidR="00746447">
              <w:rPr>
                <w:spacing w:val="-3"/>
                <w:szCs w:val="24"/>
              </w:rPr>
              <w:t xml:space="preserve"> (via Zoom)</w:t>
            </w:r>
            <w:r>
              <w:rPr>
                <w:spacing w:val="-3"/>
                <w:szCs w:val="24"/>
              </w:rPr>
              <w:t>; and members of the public including: Kevin Collins</w:t>
            </w:r>
            <w:r w:rsidR="00AA4757">
              <w:rPr>
                <w:spacing w:val="-3"/>
                <w:szCs w:val="24"/>
              </w:rPr>
              <w:t>, Stephen Gurr, Douglas Hatfield and Dustin Anderson</w:t>
            </w:r>
            <w:r w:rsidRPr="00CB5DD8">
              <w:rPr>
                <w:spacing w:val="-3"/>
                <w:szCs w:val="24"/>
              </w:rPr>
              <w:t>.</w:t>
            </w:r>
          </w:p>
          <w:p w14:paraId="4D290712" w14:textId="5B69F9EF" w:rsidR="007F3F9F" w:rsidRPr="006406B6" w:rsidRDefault="007F3F9F" w:rsidP="00652DA2">
            <w:pPr>
              <w:tabs>
                <w:tab w:val="left" w:pos="792"/>
                <w:tab w:val="left" w:pos="3168"/>
                <w:tab w:val="left" w:pos="4176"/>
              </w:tabs>
              <w:suppressAutoHyphens/>
              <w:jc w:val="both"/>
              <w:rPr>
                <w:szCs w:val="24"/>
              </w:rPr>
            </w:pPr>
          </w:p>
        </w:tc>
      </w:tr>
      <w:tr w:rsidR="006406B6" w:rsidRPr="006406B6" w14:paraId="48296D1F" w14:textId="77777777" w:rsidTr="00F21E28">
        <w:tc>
          <w:tcPr>
            <w:tcW w:w="2868" w:type="dxa"/>
          </w:tcPr>
          <w:p w14:paraId="5A742D2C" w14:textId="77777777" w:rsidR="00375259" w:rsidRPr="006406B6" w:rsidRDefault="00A71871">
            <w:pPr>
              <w:widowControl w:val="0"/>
              <w:jc w:val="both"/>
              <w:rPr>
                <w:szCs w:val="24"/>
              </w:rPr>
            </w:pPr>
            <w:r w:rsidRPr="006406B6">
              <w:rPr>
                <w:szCs w:val="24"/>
              </w:rPr>
              <w:t>Call to Order</w:t>
            </w:r>
          </w:p>
        </w:tc>
        <w:tc>
          <w:tcPr>
            <w:tcW w:w="6708" w:type="dxa"/>
          </w:tcPr>
          <w:p w14:paraId="35F5D098" w14:textId="1B06543F" w:rsidR="00375259" w:rsidRPr="006406B6" w:rsidRDefault="007204B7">
            <w:pPr>
              <w:keepLines/>
              <w:jc w:val="both"/>
              <w:rPr>
                <w:spacing w:val="-3"/>
                <w:szCs w:val="24"/>
              </w:rPr>
            </w:pPr>
            <w:r w:rsidRPr="006406B6">
              <w:rPr>
                <w:spacing w:val="-3"/>
                <w:szCs w:val="24"/>
              </w:rPr>
              <w:t>President</w:t>
            </w:r>
            <w:r w:rsidR="00B72757">
              <w:rPr>
                <w:spacing w:val="-3"/>
                <w:szCs w:val="24"/>
              </w:rPr>
              <w:t xml:space="preserve"> Fellows</w:t>
            </w:r>
            <w:r w:rsidR="00FB71C1" w:rsidRPr="006406B6">
              <w:rPr>
                <w:spacing w:val="-3"/>
                <w:szCs w:val="24"/>
              </w:rPr>
              <w:t xml:space="preserve"> </w:t>
            </w:r>
            <w:r w:rsidR="00A71871" w:rsidRPr="006406B6">
              <w:rPr>
                <w:spacing w:val="-3"/>
                <w:szCs w:val="24"/>
              </w:rPr>
              <w:t>noted that a quorum of the Board was present and the directors confirmed their qualifications to</w:t>
            </w:r>
            <w:r w:rsidR="00631FC6">
              <w:rPr>
                <w:spacing w:val="-3"/>
                <w:szCs w:val="24"/>
              </w:rPr>
              <w:t xml:space="preserve"> serve</w:t>
            </w:r>
            <w:r w:rsidR="00A71871" w:rsidRPr="006406B6">
              <w:rPr>
                <w:spacing w:val="-3"/>
                <w:szCs w:val="24"/>
              </w:rPr>
              <w:t>.</w:t>
            </w:r>
            <w:r w:rsidR="00FB71C1">
              <w:t xml:space="preserve"> </w:t>
            </w:r>
          </w:p>
          <w:p w14:paraId="3250285E" w14:textId="77777777" w:rsidR="00375259" w:rsidRPr="006406B6" w:rsidRDefault="00375259">
            <w:pPr>
              <w:keepLines/>
              <w:jc w:val="both"/>
              <w:rPr>
                <w:szCs w:val="24"/>
              </w:rPr>
            </w:pPr>
          </w:p>
        </w:tc>
      </w:tr>
      <w:tr w:rsidR="006406B6" w:rsidRPr="006406B6" w14:paraId="2E7C12BF" w14:textId="77777777" w:rsidTr="00F21E28">
        <w:tc>
          <w:tcPr>
            <w:tcW w:w="2868" w:type="dxa"/>
          </w:tcPr>
          <w:p w14:paraId="784C2955" w14:textId="77777777" w:rsidR="00375259" w:rsidRPr="006406B6" w:rsidRDefault="00A71871">
            <w:pPr>
              <w:widowControl w:val="0"/>
              <w:jc w:val="both"/>
              <w:rPr>
                <w:szCs w:val="24"/>
              </w:rPr>
            </w:pPr>
            <w:r w:rsidRPr="006406B6">
              <w:rPr>
                <w:szCs w:val="24"/>
              </w:rPr>
              <w:lastRenderedPageBreak/>
              <w:t>Disclosure Matters</w:t>
            </w:r>
          </w:p>
        </w:tc>
        <w:tc>
          <w:tcPr>
            <w:tcW w:w="6708" w:type="dxa"/>
          </w:tcPr>
          <w:p w14:paraId="5D88E7BE" w14:textId="23790EC4" w:rsidR="000564FA" w:rsidRPr="006406B6" w:rsidRDefault="00A71871">
            <w:pPr>
              <w:pStyle w:val="BodyText"/>
              <w:rPr>
                <w:szCs w:val="24"/>
              </w:rPr>
            </w:pPr>
            <w:r w:rsidRPr="006406B6">
              <w:rPr>
                <w:szCs w:val="24"/>
              </w:rPr>
              <w:t>M</w:t>
            </w:r>
            <w:r w:rsidR="00631FC6">
              <w:rPr>
                <w:szCs w:val="24"/>
              </w:rPr>
              <w:t>s. Phi</w:t>
            </w:r>
            <w:r w:rsidR="0072603D">
              <w:rPr>
                <w:szCs w:val="24"/>
              </w:rPr>
              <w:t>l</w:t>
            </w:r>
            <w:r w:rsidR="00631FC6">
              <w:rPr>
                <w:szCs w:val="24"/>
              </w:rPr>
              <w:t>lips</w:t>
            </w:r>
            <w:r w:rsidRPr="006406B6">
              <w:rPr>
                <w:szCs w:val="24"/>
              </w:rPr>
              <w:t xml:space="preserve"> advised the Board that, pursuant to Colorado law, certain disclosures may be required prior to taking official action at the meeting.  </w:t>
            </w:r>
            <w:r w:rsidR="00631FC6">
              <w:rPr>
                <w:szCs w:val="24"/>
              </w:rPr>
              <w:t>Ms. Phi</w:t>
            </w:r>
            <w:r w:rsidR="00E12D7F">
              <w:rPr>
                <w:szCs w:val="24"/>
              </w:rPr>
              <w:t>l</w:t>
            </w:r>
            <w:r w:rsidR="00631FC6">
              <w:rPr>
                <w:szCs w:val="24"/>
              </w:rPr>
              <w:t>lips</w:t>
            </w:r>
            <w:r w:rsidR="00F431E9" w:rsidRPr="006406B6">
              <w:rPr>
                <w:szCs w:val="24"/>
              </w:rPr>
              <w:t xml:space="preserve"> reported that written disclosures for those directors with potential or existing conflicts of interest were filed with the Secretary of State prior to the meeting.  </w:t>
            </w:r>
            <w:r w:rsidRPr="006406B6">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6406B6" w:rsidRDefault="00375259">
            <w:pPr>
              <w:pStyle w:val="BodyText"/>
              <w:rPr>
                <w:szCs w:val="24"/>
              </w:rPr>
            </w:pPr>
          </w:p>
        </w:tc>
      </w:tr>
      <w:tr w:rsidR="006406B6" w:rsidRPr="006406B6" w14:paraId="5898AF70" w14:textId="77777777" w:rsidTr="00F21E28">
        <w:tc>
          <w:tcPr>
            <w:tcW w:w="2868" w:type="dxa"/>
          </w:tcPr>
          <w:p w14:paraId="53F5241D" w14:textId="5A1D1BA2" w:rsidR="00375259" w:rsidRPr="006406B6" w:rsidRDefault="00652DA2" w:rsidP="00375259">
            <w:pPr>
              <w:widowControl w:val="0"/>
              <w:jc w:val="both"/>
              <w:rPr>
                <w:szCs w:val="24"/>
              </w:rPr>
            </w:pPr>
            <w:r w:rsidRPr="006406B6">
              <w:rPr>
                <w:szCs w:val="24"/>
              </w:rPr>
              <w:t>Approval of Agenda</w:t>
            </w:r>
          </w:p>
        </w:tc>
        <w:tc>
          <w:tcPr>
            <w:tcW w:w="6708" w:type="dxa"/>
          </w:tcPr>
          <w:p w14:paraId="7E7754AF" w14:textId="091D1B4F" w:rsidR="00375259" w:rsidRPr="006406B6" w:rsidRDefault="00496C42">
            <w:pPr>
              <w:pStyle w:val="BodyText"/>
              <w:rPr>
                <w:szCs w:val="24"/>
              </w:rPr>
            </w:pPr>
            <w:r w:rsidRPr="006406B6">
              <w:rPr>
                <w:szCs w:val="24"/>
              </w:rPr>
              <w:t xml:space="preserve">Following discussion and upon motion made by </w:t>
            </w:r>
            <w:r w:rsidR="00F27A77">
              <w:rPr>
                <w:szCs w:val="24"/>
              </w:rPr>
              <w:t>President Fellows,</w:t>
            </w:r>
            <w:r w:rsidRPr="006406B6">
              <w:rPr>
                <w:szCs w:val="24"/>
              </w:rPr>
              <w:t xml:space="preserve"> seconded by </w:t>
            </w:r>
            <w:r w:rsidR="00324AAD">
              <w:rPr>
                <w:szCs w:val="24"/>
              </w:rPr>
              <w:t>Director O’Connor</w:t>
            </w:r>
            <w:r w:rsidRPr="006406B6">
              <w:rPr>
                <w:szCs w:val="24"/>
              </w:rPr>
              <w:t xml:space="preserve"> and unanimously carried, </w:t>
            </w:r>
            <w:r w:rsidR="00652DA2" w:rsidRPr="006406B6">
              <w:rPr>
                <w:szCs w:val="24"/>
              </w:rPr>
              <w:t>the Board approved the agenda</w:t>
            </w:r>
            <w:r>
              <w:rPr>
                <w:szCs w:val="24"/>
              </w:rPr>
              <w:t xml:space="preserve"> as amended.</w:t>
            </w:r>
            <w:r w:rsidR="00652DA2" w:rsidRPr="006406B6">
              <w:rPr>
                <w:szCs w:val="24"/>
              </w:rPr>
              <w:t xml:space="preserve"> </w:t>
            </w:r>
          </w:p>
          <w:p w14:paraId="42F8A9D9" w14:textId="77777777" w:rsidR="00375259" w:rsidRPr="006406B6" w:rsidRDefault="00375259" w:rsidP="00375259">
            <w:pPr>
              <w:widowControl w:val="0"/>
              <w:jc w:val="both"/>
              <w:rPr>
                <w:snapToGrid w:val="0"/>
                <w:spacing w:val="-3"/>
                <w:szCs w:val="24"/>
              </w:rPr>
            </w:pPr>
          </w:p>
        </w:tc>
      </w:tr>
      <w:tr w:rsidR="006406B6" w:rsidRPr="006406B6" w14:paraId="0579716B" w14:textId="77777777" w:rsidTr="00F21E28">
        <w:tc>
          <w:tcPr>
            <w:tcW w:w="2868" w:type="dxa"/>
          </w:tcPr>
          <w:p w14:paraId="5B696F7A" w14:textId="049B321D" w:rsidR="00834728" w:rsidRPr="006406B6" w:rsidRDefault="00652DA2" w:rsidP="00BC0F35">
            <w:pPr>
              <w:widowControl w:val="0"/>
              <w:rPr>
                <w:szCs w:val="24"/>
              </w:rPr>
            </w:pPr>
            <w:r w:rsidRPr="006406B6">
              <w:rPr>
                <w:szCs w:val="24"/>
              </w:rPr>
              <w:t>Public Comment</w:t>
            </w:r>
          </w:p>
        </w:tc>
        <w:tc>
          <w:tcPr>
            <w:tcW w:w="6708" w:type="dxa"/>
          </w:tcPr>
          <w:p w14:paraId="3313F169" w14:textId="77777777" w:rsidR="00F959C4" w:rsidRPr="006406B6" w:rsidRDefault="00652DA2">
            <w:pPr>
              <w:pStyle w:val="BodyText"/>
              <w:rPr>
                <w:szCs w:val="24"/>
              </w:rPr>
            </w:pPr>
            <w:r w:rsidRPr="006406B6">
              <w:rPr>
                <w:szCs w:val="24"/>
              </w:rPr>
              <w:t>None.</w:t>
            </w:r>
          </w:p>
          <w:p w14:paraId="76E68B43" w14:textId="59D3F2BC" w:rsidR="00652DA2" w:rsidRPr="006406B6" w:rsidRDefault="00652DA2">
            <w:pPr>
              <w:pStyle w:val="BodyText"/>
              <w:rPr>
                <w:szCs w:val="24"/>
              </w:rPr>
            </w:pPr>
          </w:p>
        </w:tc>
      </w:tr>
      <w:tr w:rsidR="006406B6" w:rsidRPr="006406B6" w14:paraId="15E0EA35" w14:textId="77777777" w:rsidTr="00F21E28">
        <w:tc>
          <w:tcPr>
            <w:tcW w:w="2868" w:type="dxa"/>
          </w:tcPr>
          <w:p w14:paraId="1E58530D" w14:textId="5D5CCADC" w:rsidR="00424611" w:rsidRPr="006406B6" w:rsidRDefault="00424611" w:rsidP="00424611">
            <w:pPr>
              <w:widowControl w:val="0"/>
              <w:rPr>
                <w:szCs w:val="24"/>
              </w:rPr>
            </w:pPr>
            <w:r w:rsidRPr="006406B6">
              <w:t>Meeting Minutes</w:t>
            </w:r>
          </w:p>
        </w:tc>
        <w:tc>
          <w:tcPr>
            <w:tcW w:w="6708" w:type="dxa"/>
          </w:tcPr>
          <w:p w14:paraId="4BDF3483" w14:textId="28E454CB" w:rsidR="00424611" w:rsidRPr="006406B6" w:rsidRDefault="00E7390A" w:rsidP="00424611">
            <w:pPr>
              <w:pStyle w:val="BodyText"/>
            </w:pPr>
            <w:r>
              <w:t>T</w:t>
            </w:r>
            <w:r w:rsidR="00424611" w:rsidRPr="006406B6">
              <w:t xml:space="preserve">he Board </w:t>
            </w:r>
            <w:r>
              <w:t>reviewed</w:t>
            </w:r>
            <w:r w:rsidR="00424611" w:rsidRPr="006406B6">
              <w:t xml:space="preserve"> the </w:t>
            </w:r>
            <w:r w:rsidR="00324AAD">
              <w:t>January 26</w:t>
            </w:r>
            <w:r w:rsidR="0043592D" w:rsidRPr="006406B6">
              <w:t>, 202</w:t>
            </w:r>
            <w:r w:rsidR="00324AAD">
              <w:t>3</w:t>
            </w:r>
            <w:r w:rsidR="00424611" w:rsidRPr="006406B6">
              <w:t xml:space="preserve"> Meeting </w:t>
            </w:r>
            <w:r w:rsidR="00EB275D">
              <w:t>M</w:t>
            </w:r>
            <w:r w:rsidR="00424611" w:rsidRPr="006406B6">
              <w:t xml:space="preserve">inutes. </w:t>
            </w:r>
            <w:r w:rsidR="00496C42" w:rsidRPr="006406B6">
              <w:rPr>
                <w:szCs w:val="24"/>
              </w:rPr>
              <w:t xml:space="preserve">Following discussion and upon motion made by </w:t>
            </w:r>
            <w:r w:rsidR="00324AAD">
              <w:rPr>
                <w:szCs w:val="24"/>
              </w:rPr>
              <w:t>President Fellows</w:t>
            </w:r>
            <w:r w:rsidR="00496C42" w:rsidRPr="006406B6">
              <w:rPr>
                <w:szCs w:val="24"/>
              </w:rPr>
              <w:t>, seconded by Director</w:t>
            </w:r>
            <w:r w:rsidR="00324AAD">
              <w:rPr>
                <w:szCs w:val="24"/>
              </w:rPr>
              <w:t xml:space="preserve"> O’Connor</w:t>
            </w:r>
            <w:r w:rsidR="00496C42" w:rsidRPr="006406B6">
              <w:rPr>
                <w:szCs w:val="24"/>
              </w:rPr>
              <w:t xml:space="preserve"> and unanimously carried</w:t>
            </w:r>
            <w:r w:rsidR="00424611" w:rsidRPr="006406B6">
              <w:t xml:space="preserve">, the Board approved the </w:t>
            </w:r>
            <w:r w:rsidR="00EB275D">
              <w:t>M</w:t>
            </w:r>
            <w:r w:rsidR="00424611" w:rsidRPr="006406B6">
              <w:t xml:space="preserve">inutes from the </w:t>
            </w:r>
            <w:r w:rsidR="002C2B22">
              <w:t>January 26</w:t>
            </w:r>
            <w:r w:rsidR="0043592D" w:rsidRPr="006406B6">
              <w:t>, 202</w:t>
            </w:r>
            <w:r w:rsidR="002C2B22">
              <w:t xml:space="preserve">3 </w:t>
            </w:r>
            <w:r w:rsidR="00424611" w:rsidRPr="006406B6">
              <w:t xml:space="preserve">Meeting as </w:t>
            </w:r>
            <w:r w:rsidR="00EC6DE6" w:rsidRPr="006406B6">
              <w:t>presented</w:t>
            </w:r>
            <w:r w:rsidR="00424611" w:rsidRPr="006406B6">
              <w:t>.</w:t>
            </w:r>
          </w:p>
          <w:p w14:paraId="3D76E94C" w14:textId="39AED159" w:rsidR="00424611" w:rsidRPr="006406B6" w:rsidRDefault="00424611" w:rsidP="00424611">
            <w:pPr>
              <w:pStyle w:val="BodyText"/>
              <w:rPr>
                <w:szCs w:val="24"/>
              </w:rPr>
            </w:pPr>
          </w:p>
        </w:tc>
      </w:tr>
      <w:tr w:rsidR="00B562B0" w:rsidRPr="006406B6" w14:paraId="5AC5C072" w14:textId="77777777" w:rsidTr="00F21E28">
        <w:tc>
          <w:tcPr>
            <w:tcW w:w="2868" w:type="dxa"/>
          </w:tcPr>
          <w:p w14:paraId="275E6B1A" w14:textId="157FD536" w:rsidR="00B562B0" w:rsidRPr="006406B6" w:rsidRDefault="00B562B0" w:rsidP="00B562B0">
            <w:pPr>
              <w:widowControl w:val="0"/>
            </w:pPr>
            <w:r w:rsidRPr="006406B6">
              <w:t>Financial Report</w:t>
            </w:r>
          </w:p>
        </w:tc>
        <w:tc>
          <w:tcPr>
            <w:tcW w:w="6708" w:type="dxa"/>
          </w:tcPr>
          <w:p w14:paraId="6423280B" w14:textId="1EE9A3CE" w:rsidR="00B562B0" w:rsidRDefault="00B562B0" w:rsidP="00B562B0">
            <w:pPr>
              <w:pStyle w:val="BodyText"/>
            </w:pPr>
            <w:r w:rsidRPr="006406B6">
              <w:t>Ms. Wheeler</w:t>
            </w:r>
            <w:r>
              <w:t xml:space="preserve"> presented the </w:t>
            </w:r>
            <w:r w:rsidR="002C2B22">
              <w:t>December 31</w:t>
            </w:r>
            <w:r>
              <w:t xml:space="preserve">, 2022 financials. </w:t>
            </w:r>
            <w:r w:rsidRPr="00CB5DD8">
              <w:rPr>
                <w:szCs w:val="24"/>
              </w:rPr>
              <w:t xml:space="preserve">Upon motion duly made by </w:t>
            </w:r>
            <w:r w:rsidR="002C2B22">
              <w:rPr>
                <w:szCs w:val="24"/>
              </w:rPr>
              <w:t>President Fellows</w:t>
            </w:r>
            <w:r w:rsidRPr="00CB5DD8">
              <w:rPr>
                <w:szCs w:val="24"/>
              </w:rPr>
              <w:t>, seconded by Director</w:t>
            </w:r>
            <w:r w:rsidR="002C2B22">
              <w:rPr>
                <w:szCs w:val="24"/>
              </w:rPr>
              <w:t xml:space="preserve"> </w:t>
            </w:r>
            <w:r w:rsidR="00A64318">
              <w:rPr>
                <w:szCs w:val="24"/>
              </w:rPr>
              <w:t>O’Connor</w:t>
            </w:r>
            <w:r w:rsidRPr="00CB5DD8">
              <w:rPr>
                <w:szCs w:val="24"/>
              </w:rPr>
              <w:t xml:space="preserve"> and unanimously carried, the Board </w:t>
            </w:r>
            <w:r>
              <w:rPr>
                <w:szCs w:val="24"/>
              </w:rPr>
              <w:t>accepted the</w:t>
            </w:r>
            <w:r w:rsidR="00A64318">
              <w:rPr>
                <w:szCs w:val="24"/>
              </w:rPr>
              <w:t xml:space="preserve"> December 31</w:t>
            </w:r>
            <w:r>
              <w:rPr>
                <w:szCs w:val="24"/>
              </w:rPr>
              <w:t>, 2022 financials</w:t>
            </w:r>
            <w:r w:rsidRPr="00CB5DD8">
              <w:rPr>
                <w:szCs w:val="24"/>
              </w:rPr>
              <w:t xml:space="preserve"> as presented.</w:t>
            </w:r>
          </w:p>
          <w:p w14:paraId="33C42D60" w14:textId="77777777" w:rsidR="00B562B0" w:rsidRDefault="00B562B0" w:rsidP="00B562B0">
            <w:pPr>
              <w:pStyle w:val="BodyText"/>
            </w:pPr>
          </w:p>
          <w:p w14:paraId="080D8DA0" w14:textId="6A23845D" w:rsidR="00B562B0" w:rsidRPr="00496C42" w:rsidRDefault="00B562B0" w:rsidP="00B562B0">
            <w:pPr>
              <w:pStyle w:val="BodyText"/>
              <w:rPr>
                <w:szCs w:val="24"/>
              </w:rPr>
            </w:pPr>
            <w:r w:rsidRPr="00CB5DD8">
              <w:rPr>
                <w:szCs w:val="24"/>
              </w:rPr>
              <w:t>Ms. Wheeler presented the claims in the amount of $</w:t>
            </w:r>
            <w:r w:rsidR="00A64318">
              <w:rPr>
                <w:szCs w:val="24"/>
              </w:rPr>
              <w:t>3,197,720.71</w:t>
            </w:r>
            <w:r>
              <w:rPr>
                <w:szCs w:val="24"/>
              </w:rPr>
              <w:t xml:space="preserve"> </w:t>
            </w:r>
            <w:r w:rsidRPr="00CB5DD8">
              <w:rPr>
                <w:szCs w:val="24"/>
              </w:rPr>
              <w:t xml:space="preserve">for payment. Upon motion duly made by </w:t>
            </w:r>
            <w:r w:rsidR="00A64318">
              <w:rPr>
                <w:szCs w:val="24"/>
              </w:rPr>
              <w:t>President Fellows</w:t>
            </w:r>
            <w:r w:rsidRPr="00CB5DD8">
              <w:rPr>
                <w:szCs w:val="24"/>
              </w:rPr>
              <w:t xml:space="preserve">, seconded by Director </w:t>
            </w:r>
            <w:r w:rsidR="005A31CB">
              <w:rPr>
                <w:szCs w:val="24"/>
              </w:rPr>
              <w:t>O’Connor</w:t>
            </w:r>
            <w:r w:rsidRPr="00CB5DD8">
              <w:rPr>
                <w:szCs w:val="24"/>
              </w:rPr>
              <w:t xml:space="preserve"> and unanimously carried, the Board approved the payment of claims as presented.</w:t>
            </w:r>
          </w:p>
          <w:p w14:paraId="6C3F7DB0" w14:textId="77777777" w:rsidR="00B562B0" w:rsidRDefault="00B562B0" w:rsidP="00B562B0">
            <w:pPr>
              <w:pStyle w:val="BodyText"/>
            </w:pPr>
          </w:p>
        </w:tc>
      </w:tr>
      <w:tr w:rsidR="00B562B0" w:rsidRPr="006406B6" w14:paraId="70C44605" w14:textId="77777777" w:rsidTr="00F21E28">
        <w:tc>
          <w:tcPr>
            <w:tcW w:w="2868" w:type="dxa"/>
          </w:tcPr>
          <w:p w14:paraId="4375AB61" w14:textId="7945C6B2" w:rsidR="00B562B0" w:rsidRPr="006406B6" w:rsidRDefault="00B562B0" w:rsidP="00B562B0">
            <w:pPr>
              <w:widowControl w:val="0"/>
            </w:pPr>
            <w:r w:rsidRPr="001A0372">
              <w:t xml:space="preserve">Resolution Accepting Engineer’s Report and Requesting </w:t>
            </w:r>
            <w:r w:rsidRPr="006406B6">
              <w:t xml:space="preserve">Requisition of Funds No. </w:t>
            </w:r>
            <w:r w:rsidR="00A3278A">
              <w:t>2</w:t>
            </w:r>
            <w:r w:rsidR="005A31CB">
              <w:t>4</w:t>
            </w:r>
          </w:p>
        </w:tc>
        <w:tc>
          <w:tcPr>
            <w:tcW w:w="6708" w:type="dxa"/>
          </w:tcPr>
          <w:p w14:paraId="6DD836D5" w14:textId="770EA187" w:rsidR="00D207C1" w:rsidRPr="006406B6" w:rsidRDefault="00D207C1" w:rsidP="00D207C1">
            <w:pPr>
              <w:pStyle w:val="BodyText"/>
            </w:pPr>
            <w:r>
              <w:t>Mr. Fix presented</w:t>
            </w:r>
            <w:r w:rsidRPr="006406B6">
              <w:t xml:space="preserve"> the </w:t>
            </w:r>
            <w:r>
              <w:t xml:space="preserve">Board with Engineer’s Report and Project Fund </w:t>
            </w:r>
            <w:r w:rsidRPr="006406B6">
              <w:t xml:space="preserve">Requisition No. </w:t>
            </w:r>
            <w:r>
              <w:t>24</w:t>
            </w:r>
            <w:r w:rsidRPr="006406B6">
              <w:t xml:space="preserve"> </w:t>
            </w:r>
            <w:r>
              <w:t xml:space="preserve">for payment from proceeds of the Authority’s 2020 Bonds, </w:t>
            </w:r>
            <w:r w:rsidRPr="006406B6">
              <w:t>in the amount of</w:t>
            </w:r>
            <w:r>
              <w:t xml:space="preserve"> $61,603.05. </w:t>
            </w:r>
            <w:r w:rsidRPr="006406B6">
              <w:rPr>
                <w:szCs w:val="24"/>
              </w:rPr>
              <w:t xml:space="preserve">Following discussion and upon motion made by </w:t>
            </w:r>
            <w:r>
              <w:rPr>
                <w:szCs w:val="24"/>
              </w:rPr>
              <w:t>President Fellows</w:t>
            </w:r>
            <w:r w:rsidRPr="006406B6">
              <w:rPr>
                <w:szCs w:val="24"/>
              </w:rPr>
              <w:t xml:space="preserve">, seconded by </w:t>
            </w:r>
            <w:r>
              <w:rPr>
                <w:szCs w:val="24"/>
              </w:rPr>
              <w:t>Director O’Connor</w:t>
            </w:r>
            <w:r w:rsidRPr="006406B6">
              <w:rPr>
                <w:szCs w:val="24"/>
              </w:rPr>
              <w:t xml:space="preserve"> and unanimously carried, </w:t>
            </w:r>
            <w:r w:rsidRPr="006406B6">
              <w:t xml:space="preserve">the Board </w:t>
            </w:r>
            <w:r>
              <w:t>ratified</w:t>
            </w:r>
            <w:r w:rsidRPr="006406B6">
              <w:t xml:space="preserve"> the </w:t>
            </w:r>
            <w:r>
              <w:t xml:space="preserve">Resolution Accepting Engineer’s Report and Requesting </w:t>
            </w:r>
            <w:r w:rsidRPr="006406B6">
              <w:t xml:space="preserve">Requisition of Funds No. </w:t>
            </w:r>
            <w:r>
              <w:t>24</w:t>
            </w:r>
            <w:r w:rsidRPr="006406B6">
              <w:t>.</w:t>
            </w:r>
          </w:p>
          <w:p w14:paraId="143C84ED" w14:textId="770067E8" w:rsidR="00B562B0" w:rsidRPr="006406B6" w:rsidRDefault="00B562B0" w:rsidP="00B562B0">
            <w:pPr>
              <w:pStyle w:val="BodyText"/>
            </w:pPr>
          </w:p>
        </w:tc>
      </w:tr>
      <w:tr w:rsidR="00A3278A" w:rsidRPr="006406B6" w14:paraId="19DB8361" w14:textId="77777777" w:rsidTr="00F21E28">
        <w:tc>
          <w:tcPr>
            <w:tcW w:w="2868" w:type="dxa"/>
          </w:tcPr>
          <w:p w14:paraId="704098F6" w14:textId="52B3F5C5" w:rsidR="00A3278A" w:rsidRPr="006406B6" w:rsidRDefault="00A3278A" w:rsidP="00B562B0">
            <w:pPr>
              <w:widowControl w:val="0"/>
            </w:pPr>
            <w:r w:rsidRPr="001A0372">
              <w:lastRenderedPageBreak/>
              <w:t xml:space="preserve">Resolution Accepting Engineer’s Report and Requesting </w:t>
            </w:r>
            <w:r w:rsidRPr="006406B6">
              <w:t xml:space="preserve">Requisition of Funds No. </w:t>
            </w:r>
            <w:r>
              <w:t>2</w:t>
            </w:r>
            <w:r w:rsidR="005A31CB">
              <w:t>5</w:t>
            </w:r>
          </w:p>
        </w:tc>
        <w:tc>
          <w:tcPr>
            <w:tcW w:w="6708" w:type="dxa"/>
          </w:tcPr>
          <w:p w14:paraId="48EE765A" w14:textId="5E647A48" w:rsidR="0008212D" w:rsidRPr="006406B6" w:rsidRDefault="0008212D" w:rsidP="0008212D">
            <w:pPr>
              <w:pStyle w:val="BodyText"/>
            </w:pPr>
            <w:r>
              <w:t>Mr. Fix</w:t>
            </w:r>
            <w:r w:rsidRPr="006406B6">
              <w:t xml:space="preserve"> presented the </w:t>
            </w:r>
            <w:r>
              <w:t xml:space="preserve">Board with the Engineer’s Report and Project Fund </w:t>
            </w:r>
            <w:r w:rsidRPr="006406B6">
              <w:t xml:space="preserve">Requisition No. </w:t>
            </w:r>
            <w:r>
              <w:t>2</w:t>
            </w:r>
            <w:r w:rsidR="00D207C1">
              <w:t>5</w:t>
            </w:r>
            <w:r w:rsidR="00516EB4" w:rsidRPr="006406B6">
              <w:t xml:space="preserve"> </w:t>
            </w:r>
            <w:r w:rsidR="00516EB4">
              <w:t>for payment from proceeds of the Authority’s 2020 Bonds,</w:t>
            </w:r>
            <w:r w:rsidRPr="006406B6">
              <w:t xml:space="preserve"> in the amount of</w:t>
            </w:r>
            <w:r>
              <w:t xml:space="preserve"> $1,516,139.30 (a total certified amount of $1,968,047.45 with a contribution from GVP Windler, LLC in the amount of $451,908.15)</w:t>
            </w:r>
            <w:r w:rsidRPr="006406B6">
              <w:t xml:space="preserve">. </w:t>
            </w:r>
            <w:r w:rsidRPr="006406B6">
              <w:rPr>
                <w:szCs w:val="24"/>
              </w:rPr>
              <w:t xml:space="preserve">Following discussion and upon motion made by </w:t>
            </w:r>
            <w:r>
              <w:rPr>
                <w:szCs w:val="24"/>
              </w:rPr>
              <w:t>President Fellows</w:t>
            </w:r>
            <w:r w:rsidRPr="006406B6">
              <w:rPr>
                <w:szCs w:val="24"/>
              </w:rPr>
              <w:t xml:space="preserve">, seconded by </w:t>
            </w:r>
            <w:r>
              <w:rPr>
                <w:szCs w:val="24"/>
              </w:rPr>
              <w:t>Director O’Connor</w:t>
            </w:r>
            <w:r w:rsidRPr="006406B6">
              <w:rPr>
                <w:szCs w:val="24"/>
              </w:rPr>
              <w:t xml:space="preserve"> and unanimously carried, </w:t>
            </w:r>
            <w:r w:rsidRPr="006406B6">
              <w:t xml:space="preserve">the Board </w:t>
            </w:r>
            <w:r>
              <w:t>ratified</w:t>
            </w:r>
            <w:r w:rsidRPr="006406B6">
              <w:t xml:space="preserve"> the </w:t>
            </w:r>
            <w:r>
              <w:t xml:space="preserve">Resolution Accepting Engineer’s Report and Requesting </w:t>
            </w:r>
            <w:r w:rsidRPr="006406B6">
              <w:t xml:space="preserve">Requisition of Funds No. </w:t>
            </w:r>
            <w:r>
              <w:t>2</w:t>
            </w:r>
            <w:r w:rsidR="00D207C1">
              <w:t>5</w:t>
            </w:r>
            <w:r w:rsidRPr="006406B6">
              <w:t>.</w:t>
            </w:r>
          </w:p>
          <w:p w14:paraId="7938F9FE" w14:textId="5F2A7F29" w:rsidR="00A3278A" w:rsidRPr="006406B6" w:rsidRDefault="00A3278A" w:rsidP="00B562B0">
            <w:pPr>
              <w:pStyle w:val="BodyText"/>
            </w:pPr>
          </w:p>
        </w:tc>
      </w:tr>
      <w:tr w:rsidR="00A3278A" w:rsidRPr="006406B6" w14:paraId="51F9A4F0" w14:textId="77777777" w:rsidTr="00F21E28">
        <w:tc>
          <w:tcPr>
            <w:tcW w:w="2868" w:type="dxa"/>
          </w:tcPr>
          <w:p w14:paraId="2539CB33" w14:textId="0918CD1D" w:rsidR="00A3278A" w:rsidRPr="006406B6" w:rsidRDefault="002D5C4A" w:rsidP="00B562B0">
            <w:pPr>
              <w:widowControl w:val="0"/>
            </w:pPr>
            <w:r w:rsidRPr="001A0372">
              <w:t xml:space="preserve">Resolution Accepting Engineer’s Report and Requesting </w:t>
            </w:r>
            <w:r w:rsidRPr="006406B6">
              <w:t xml:space="preserve">Requisition of Funds No. </w:t>
            </w:r>
            <w:r>
              <w:t>2</w:t>
            </w:r>
            <w:r w:rsidR="0008212D">
              <w:t>6</w:t>
            </w:r>
          </w:p>
        </w:tc>
        <w:tc>
          <w:tcPr>
            <w:tcW w:w="6708" w:type="dxa"/>
          </w:tcPr>
          <w:p w14:paraId="45A63259" w14:textId="6EF6064C" w:rsidR="002D5C4A" w:rsidRPr="006406B6" w:rsidRDefault="002D5C4A" w:rsidP="002D5C4A">
            <w:pPr>
              <w:pStyle w:val="BodyText"/>
            </w:pPr>
            <w:r>
              <w:t>Mr. Fix presented</w:t>
            </w:r>
            <w:r w:rsidRPr="006406B6">
              <w:t xml:space="preserve"> the </w:t>
            </w:r>
            <w:r>
              <w:t xml:space="preserve">Board with Engineer’s Report and Project Fund </w:t>
            </w:r>
            <w:r w:rsidRPr="006406B6">
              <w:t xml:space="preserve">Requisition No. </w:t>
            </w:r>
            <w:r>
              <w:t>2</w:t>
            </w:r>
            <w:r w:rsidR="00D207C1">
              <w:t>6</w:t>
            </w:r>
            <w:r w:rsidRPr="006406B6">
              <w:t xml:space="preserve"> </w:t>
            </w:r>
            <w:r>
              <w:t xml:space="preserve">for payment from proceeds of the Authority’s 2020 Bonds, </w:t>
            </w:r>
            <w:r w:rsidRPr="006406B6">
              <w:t>in the amount of</w:t>
            </w:r>
            <w:r>
              <w:t xml:space="preserve"> $</w:t>
            </w:r>
            <w:r w:rsidR="0008212D">
              <w:t>1,168,070.21</w:t>
            </w:r>
            <w:r>
              <w:t xml:space="preserve">. </w:t>
            </w:r>
            <w:r w:rsidRPr="006406B6">
              <w:rPr>
                <w:szCs w:val="24"/>
              </w:rPr>
              <w:t xml:space="preserve">Following discussion and upon motion made by </w:t>
            </w:r>
            <w:r>
              <w:rPr>
                <w:szCs w:val="24"/>
              </w:rPr>
              <w:t>President Fellows</w:t>
            </w:r>
            <w:r w:rsidRPr="006406B6">
              <w:rPr>
                <w:szCs w:val="24"/>
              </w:rPr>
              <w:t xml:space="preserve">, seconded by </w:t>
            </w:r>
            <w:r>
              <w:rPr>
                <w:szCs w:val="24"/>
              </w:rPr>
              <w:t>Director O’Connor</w:t>
            </w:r>
            <w:r w:rsidRPr="006406B6">
              <w:rPr>
                <w:szCs w:val="24"/>
              </w:rPr>
              <w:t xml:space="preserve"> and unanimously carried, </w:t>
            </w:r>
            <w:r w:rsidRPr="006406B6">
              <w:t xml:space="preserve">the Board </w:t>
            </w:r>
            <w:r>
              <w:t>ratified</w:t>
            </w:r>
            <w:r w:rsidRPr="006406B6">
              <w:t xml:space="preserve"> the </w:t>
            </w:r>
            <w:r>
              <w:t xml:space="preserve">Resolution Accepting Engineer’s Report and Requesting </w:t>
            </w:r>
            <w:r w:rsidRPr="006406B6">
              <w:t xml:space="preserve">Requisition of Funds No. </w:t>
            </w:r>
            <w:r>
              <w:t>2</w:t>
            </w:r>
            <w:r w:rsidR="0008212D">
              <w:t>6</w:t>
            </w:r>
            <w:r w:rsidRPr="006406B6">
              <w:t>.</w:t>
            </w:r>
          </w:p>
          <w:p w14:paraId="35351F2C" w14:textId="11697461" w:rsidR="00A3278A" w:rsidRPr="006406B6" w:rsidRDefault="00A3278A" w:rsidP="00864046">
            <w:pPr>
              <w:pStyle w:val="BodyText"/>
            </w:pPr>
          </w:p>
        </w:tc>
      </w:tr>
      <w:tr w:rsidR="00A3278A" w:rsidRPr="006406B6" w14:paraId="2B317F4B" w14:textId="77777777" w:rsidTr="00F21E28">
        <w:tc>
          <w:tcPr>
            <w:tcW w:w="2868" w:type="dxa"/>
          </w:tcPr>
          <w:p w14:paraId="10D5977C" w14:textId="1FA0832F" w:rsidR="00A3278A" w:rsidRPr="001A0372" w:rsidRDefault="00516EB4" w:rsidP="00B562B0">
            <w:pPr>
              <w:widowControl w:val="0"/>
            </w:pPr>
            <w:r>
              <w:t xml:space="preserve">Additional </w:t>
            </w:r>
            <w:r w:rsidR="00D207C1">
              <w:t>Service Request No. 2A with Superbloom regarding Landscape Design – 1881 Windler Homestead Farm Park – Additional Permitting (NHD P)</w:t>
            </w:r>
          </w:p>
        </w:tc>
        <w:tc>
          <w:tcPr>
            <w:tcW w:w="6708" w:type="dxa"/>
          </w:tcPr>
          <w:p w14:paraId="0193A83C" w14:textId="1A270135" w:rsidR="00A3278A" w:rsidRPr="006406B6" w:rsidRDefault="00214E19" w:rsidP="00B562B0">
            <w:pPr>
              <w:pStyle w:val="BodyText"/>
            </w:pPr>
            <w:r>
              <w:t xml:space="preserve">Mr. Fix presented the Board with the </w:t>
            </w:r>
            <w:r w:rsidR="00516EB4">
              <w:t xml:space="preserve">Additional </w:t>
            </w:r>
            <w:r>
              <w:t>Service Request No. 2A with Superbloom regarding Landscape Design – 1881 Windler Homestead Farm Park – Additional Permitting (NHD</w:t>
            </w:r>
            <w:r w:rsidR="00516EB4">
              <w:t xml:space="preserve"> </w:t>
            </w:r>
            <w:r>
              <w:t>P)</w:t>
            </w:r>
            <w:r w:rsidR="00AA578C">
              <w:t xml:space="preserve"> in the amount of $34,</w:t>
            </w:r>
            <w:r w:rsidR="00647F17">
              <w:t>535</w:t>
            </w:r>
            <w:r w:rsidR="002F1CFF">
              <w:t>. Following discussion, a motion duly made by President Fellows, seconded by Director O’Connor, the Board approved the Service Request No. 2A with Superbloom regarding Landscape Design – 1881 Windler Homestead Farm Park – Additional Permitting (NHD P).</w:t>
            </w:r>
          </w:p>
          <w:p w14:paraId="6D212265" w14:textId="7D046CFA" w:rsidR="00A3278A" w:rsidRPr="006406B6" w:rsidRDefault="00A3278A" w:rsidP="00B562B0">
            <w:pPr>
              <w:pStyle w:val="BodyText"/>
            </w:pPr>
          </w:p>
        </w:tc>
      </w:tr>
      <w:tr w:rsidR="00D207C1" w:rsidRPr="006406B6" w14:paraId="1EDF13DA" w14:textId="77777777" w:rsidTr="00F21E28">
        <w:tc>
          <w:tcPr>
            <w:tcW w:w="2868" w:type="dxa"/>
          </w:tcPr>
          <w:p w14:paraId="0FA15759" w14:textId="004821D8" w:rsidR="00D207C1" w:rsidRDefault="00FB74F8" w:rsidP="00B562B0">
            <w:pPr>
              <w:widowControl w:val="0"/>
            </w:pPr>
            <w:r>
              <w:t>Additional Service Request No. 5 with Superbloom regarding Landscape Design – 1881 Windler Homestead Farm Park – Wayfinding/Signage</w:t>
            </w:r>
          </w:p>
        </w:tc>
        <w:tc>
          <w:tcPr>
            <w:tcW w:w="6708" w:type="dxa"/>
          </w:tcPr>
          <w:p w14:paraId="19EA6CF1" w14:textId="67AF5F31" w:rsidR="00D207C1" w:rsidRDefault="00774CB2" w:rsidP="00B562B0">
            <w:pPr>
              <w:pStyle w:val="BodyText"/>
            </w:pPr>
            <w:r>
              <w:t>Mr Fix presented the Board with the Additional Service Request No. 5 with Superbloom regarding Landscape Design – 1881 Windler Homestead Farm Park – Wayfinding/Signage</w:t>
            </w:r>
            <w:r w:rsidR="00647F17">
              <w:t xml:space="preserve"> in the amount of $</w:t>
            </w:r>
            <w:r w:rsidR="00836D94">
              <w:t>4</w:t>
            </w:r>
            <w:r w:rsidR="005B4524">
              <w:t>6</w:t>
            </w:r>
            <w:r w:rsidR="00836D94">
              <w:t>,480</w:t>
            </w:r>
            <w:r>
              <w:t>. Following discussion, a motion duly made by President Fellows, seconded by Director O’Connor, the Board approved the Additional Service Request No. 5 with Superbloom regarding Landscape Design – 1881 Windler Homestead Farm Park – Wayfinding/Signage.</w:t>
            </w:r>
          </w:p>
          <w:p w14:paraId="3BA0B225" w14:textId="37BAF233" w:rsidR="0090545A" w:rsidRPr="006406B6" w:rsidRDefault="0090545A" w:rsidP="00B562B0">
            <w:pPr>
              <w:pStyle w:val="BodyText"/>
            </w:pPr>
          </w:p>
        </w:tc>
      </w:tr>
      <w:tr w:rsidR="00FB74F8" w:rsidRPr="006406B6" w14:paraId="43CA6336" w14:textId="77777777" w:rsidTr="00F21E28">
        <w:tc>
          <w:tcPr>
            <w:tcW w:w="2868" w:type="dxa"/>
          </w:tcPr>
          <w:p w14:paraId="02DAD9BD" w14:textId="58893E7E" w:rsidR="00FB74F8" w:rsidRDefault="00FB74F8" w:rsidP="00B562B0">
            <w:pPr>
              <w:widowControl w:val="0"/>
            </w:pPr>
            <w:r>
              <w:t>Additional Service Request No. 6 with Superbloom regarding Landscape Design – 1881 Windler Homestead Farm Park – DD Pricing Set Changes</w:t>
            </w:r>
          </w:p>
        </w:tc>
        <w:tc>
          <w:tcPr>
            <w:tcW w:w="6708" w:type="dxa"/>
          </w:tcPr>
          <w:p w14:paraId="38D72002" w14:textId="6A84AF4B" w:rsidR="00FB74F8" w:rsidRDefault="00774CB2" w:rsidP="00B562B0">
            <w:pPr>
              <w:pStyle w:val="BodyText"/>
            </w:pPr>
            <w:r>
              <w:t xml:space="preserve">Mr. Fix presented the Board with the </w:t>
            </w:r>
            <w:r w:rsidR="009246BA">
              <w:t>Additional Service Request No. 6 with Superbloom regarding Landscape Design – 1881 Windler Homestead Farm Park – DD Pricing Set Changes</w:t>
            </w:r>
            <w:r w:rsidR="005B4524">
              <w:t xml:space="preserve"> in the amount of $36,000</w:t>
            </w:r>
            <w:r w:rsidR="009246BA">
              <w:t>. Following discussion, a motion duly made by President Fellows, seconded by Director O’Connor, the Board approved the Additional Service Request No. 6 with Superbloom regarding Landscape Design – 1881 Windler Homestead Farm Park – DD Pricing Set Changes.</w:t>
            </w:r>
          </w:p>
          <w:p w14:paraId="20DFC662" w14:textId="516207EE" w:rsidR="0090545A" w:rsidRPr="009246BA" w:rsidRDefault="0090545A" w:rsidP="00B562B0">
            <w:pPr>
              <w:pStyle w:val="BodyText"/>
            </w:pPr>
          </w:p>
        </w:tc>
      </w:tr>
      <w:tr w:rsidR="00FB74F8" w:rsidRPr="006406B6" w14:paraId="3494E18E" w14:textId="77777777" w:rsidTr="00F21E28">
        <w:tc>
          <w:tcPr>
            <w:tcW w:w="2868" w:type="dxa"/>
          </w:tcPr>
          <w:p w14:paraId="6C423C78" w14:textId="4E9DC2C7" w:rsidR="00FB74F8" w:rsidRDefault="00FB74F8" w:rsidP="00B562B0">
            <w:pPr>
              <w:widowControl w:val="0"/>
            </w:pPr>
            <w:r>
              <w:lastRenderedPageBreak/>
              <w:t>Additional Service Request No. 7 with Superbloom regarding Landscape Design – 1881 Windler Homestead Farm Park – Additional Permitting</w:t>
            </w:r>
          </w:p>
        </w:tc>
        <w:tc>
          <w:tcPr>
            <w:tcW w:w="6708" w:type="dxa"/>
          </w:tcPr>
          <w:p w14:paraId="37C4A6F3" w14:textId="4EDC4589" w:rsidR="00FB74F8" w:rsidRDefault="009246BA" w:rsidP="00B562B0">
            <w:pPr>
              <w:pStyle w:val="BodyText"/>
            </w:pPr>
            <w:r>
              <w:t>Mr. Fix presented the Board with the Additional Service Request No. 7 with Superbloom regarding Landscape Design – 1881 Windler Homestead Farm Park – Additional Permitting</w:t>
            </w:r>
            <w:r w:rsidR="004740AF">
              <w:t xml:space="preserve"> in the amount of $25,500</w:t>
            </w:r>
            <w:r>
              <w:t xml:space="preserve">. Following discussion, a motion duly made by President Fellows, seconded by Director O’Connor, the Board approved the </w:t>
            </w:r>
            <w:r w:rsidR="005659E5">
              <w:t>Additional Service Request No. 7 with Superbloom regarding Landscape Design – 1881 Windler Homestead Farm Park – Additional Permitting.</w:t>
            </w:r>
          </w:p>
          <w:p w14:paraId="4416AA6D" w14:textId="2FF3D1CE" w:rsidR="0090545A" w:rsidRPr="006406B6" w:rsidRDefault="0090545A" w:rsidP="00B562B0">
            <w:pPr>
              <w:pStyle w:val="BodyText"/>
            </w:pPr>
          </w:p>
        </w:tc>
      </w:tr>
      <w:tr w:rsidR="00FB74F8" w:rsidRPr="006406B6" w14:paraId="7E6EE5B9" w14:textId="77777777" w:rsidTr="00F21E28">
        <w:tc>
          <w:tcPr>
            <w:tcW w:w="2868" w:type="dxa"/>
          </w:tcPr>
          <w:p w14:paraId="6C09721A" w14:textId="77777777" w:rsidR="00FB74F8" w:rsidRDefault="00FB74F8" w:rsidP="00B562B0">
            <w:pPr>
              <w:widowControl w:val="0"/>
            </w:pPr>
            <w:r>
              <w:t>Change Order No. 1 with Hudick Excavating, Inc. regarding Windler Mass Grading Improvements – Trash Removal</w:t>
            </w:r>
          </w:p>
          <w:p w14:paraId="4A298417" w14:textId="77777777" w:rsidR="00AA3005" w:rsidRDefault="00AA3005" w:rsidP="00B562B0">
            <w:pPr>
              <w:widowControl w:val="0"/>
            </w:pPr>
          </w:p>
          <w:p w14:paraId="380CB312" w14:textId="77777777" w:rsidR="00AA3005" w:rsidRDefault="00AA3005" w:rsidP="00B562B0">
            <w:pPr>
              <w:widowControl w:val="0"/>
            </w:pPr>
          </w:p>
          <w:p w14:paraId="2BC8B782" w14:textId="77777777" w:rsidR="00AA3005" w:rsidRDefault="00AA3005" w:rsidP="00B562B0">
            <w:pPr>
              <w:widowControl w:val="0"/>
            </w:pPr>
          </w:p>
          <w:p w14:paraId="148A7B71" w14:textId="4E34CD4B" w:rsidR="00AA3005" w:rsidRDefault="00AA3005" w:rsidP="00B562B0">
            <w:pPr>
              <w:widowControl w:val="0"/>
            </w:pPr>
            <w:r>
              <w:t>Construction Update</w:t>
            </w:r>
          </w:p>
        </w:tc>
        <w:tc>
          <w:tcPr>
            <w:tcW w:w="6708" w:type="dxa"/>
          </w:tcPr>
          <w:p w14:paraId="1D4B62D9" w14:textId="03195230" w:rsidR="00FB74F8" w:rsidRDefault="005659E5" w:rsidP="00B562B0">
            <w:pPr>
              <w:pStyle w:val="BodyText"/>
            </w:pPr>
            <w:r>
              <w:t>Mr. Fix presented the Board with the Change Order No. 1 with Hudick Excavating, Inc. regarding Windler Mass Grading Improvements – Trash Removal</w:t>
            </w:r>
            <w:r w:rsidR="00AA3005">
              <w:t xml:space="preserve"> in the amount of $30,750</w:t>
            </w:r>
            <w:r>
              <w:t xml:space="preserve">. Following discussion, a motion duly made by President Fellows, seconded by Director O’Connor, the Board approved the Change Order No. 1 with Hudick Excavating, Inc. regarding Windler Mass Grading Improvements – Trash Removal. </w:t>
            </w:r>
          </w:p>
          <w:p w14:paraId="7D729F1A" w14:textId="314E93F9" w:rsidR="00AA3005" w:rsidRDefault="00AA3005" w:rsidP="00B562B0">
            <w:pPr>
              <w:pStyle w:val="BodyText"/>
            </w:pPr>
          </w:p>
          <w:p w14:paraId="2E8F74AD" w14:textId="3974BB50" w:rsidR="00AA3005" w:rsidRDefault="00AA3005" w:rsidP="00B562B0">
            <w:pPr>
              <w:pStyle w:val="BodyText"/>
            </w:pPr>
            <w:r>
              <w:t>Mr. Fix provided an update on the construction.</w:t>
            </w:r>
          </w:p>
          <w:p w14:paraId="1FAE57E6" w14:textId="0E458D53" w:rsidR="0090545A" w:rsidRPr="006406B6" w:rsidRDefault="0090545A" w:rsidP="00B562B0">
            <w:pPr>
              <w:pStyle w:val="BodyText"/>
            </w:pPr>
          </w:p>
        </w:tc>
      </w:tr>
      <w:tr w:rsidR="00A41934" w:rsidRPr="006406B6" w14:paraId="6390D34E" w14:textId="77777777" w:rsidTr="00F21E28">
        <w:tc>
          <w:tcPr>
            <w:tcW w:w="2868" w:type="dxa"/>
          </w:tcPr>
          <w:p w14:paraId="2DA4439A" w14:textId="6E4BA8E7" w:rsidR="00A41934" w:rsidRPr="006439DE" w:rsidRDefault="00A41934" w:rsidP="00B562B0">
            <w:pPr>
              <w:widowControl w:val="0"/>
            </w:pPr>
            <w:r w:rsidRPr="006439DE">
              <w:t>Termination of Olsson, Inc. Services Agreements</w:t>
            </w:r>
          </w:p>
        </w:tc>
        <w:tc>
          <w:tcPr>
            <w:tcW w:w="6708" w:type="dxa"/>
          </w:tcPr>
          <w:p w14:paraId="7B567935" w14:textId="542C84A1" w:rsidR="00A41934" w:rsidRDefault="00974D06" w:rsidP="00B562B0">
            <w:pPr>
              <w:pStyle w:val="BodyText"/>
            </w:pPr>
            <w:r>
              <w:t xml:space="preserve">President Fellows discussed </w:t>
            </w:r>
            <w:r w:rsidR="00396FEA">
              <w:t xml:space="preserve">the termination of Olsson, Inc. Services Agreements with the Authority </w:t>
            </w:r>
            <w:r w:rsidR="00D11BE1">
              <w:t>stating</w:t>
            </w:r>
            <w:r w:rsidR="00396FEA">
              <w:t xml:space="preserve"> that a letter had been sent to Olsson</w:t>
            </w:r>
            <w:r w:rsidR="00AA544D">
              <w:t>, Inc.</w:t>
            </w:r>
            <w:r w:rsidR="00396FEA">
              <w:t xml:space="preserve"> on February 6</w:t>
            </w:r>
            <w:r w:rsidR="00396FEA" w:rsidRPr="00396FEA">
              <w:rPr>
                <w:vertAlign w:val="superscript"/>
              </w:rPr>
              <w:t>th</w:t>
            </w:r>
            <w:r w:rsidR="00A6660E">
              <w:t>, 2023</w:t>
            </w:r>
            <w:r w:rsidR="00803B37">
              <w:t xml:space="preserve"> </w:t>
            </w:r>
            <w:r w:rsidR="00396FEA">
              <w:t>terminati</w:t>
            </w:r>
            <w:r w:rsidR="0002232D">
              <w:t>ng</w:t>
            </w:r>
            <w:r w:rsidR="00396FEA">
              <w:t xml:space="preserve"> all </w:t>
            </w:r>
            <w:r w:rsidR="00D11BE1">
              <w:t xml:space="preserve">Services Agreements. </w:t>
            </w:r>
            <w:r w:rsidR="00A85880">
              <w:t>Following discussion, a motion duly made by President Fellows, seconded by Director O’Connor</w:t>
            </w:r>
            <w:r w:rsidR="00A6660E">
              <w:t>, the Board ratified the termination of Olsson, Inc. Services Agreements.</w:t>
            </w:r>
          </w:p>
          <w:p w14:paraId="11C23C52" w14:textId="701BF36C" w:rsidR="0090545A" w:rsidRDefault="0090545A" w:rsidP="00B562B0">
            <w:pPr>
              <w:pStyle w:val="BodyText"/>
            </w:pPr>
          </w:p>
        </w:tc>
      </w:tr>
      <w:tr w:rsidR="00A41934" w:rsidRPr="006406B6" w14:paraId="53F33E6C" w14:textId="77777777" w:rsidTr="00F21E28">
        <w:tc>
          <w:tcPr>
            <w:tcW w:w="2868" w:type="dxa"/>
          </w:tcPr>
          <w:p w14:paraId="323C451A" w14:textId="18FAF4CC" w:rsidR="00A41934" w:rsidRPr="006439DE" w:rsidRDefault="00A41934" w:rsidP="00B562B0">
            <w:pPr>
              <w:widowControl w:val="0"/>
            </w:pPr>
            <w:r w:rsidRPr="006439DE">
              <w:t xml:space="preserve">Engagement of Westwood </w:t>
            </w:r>
            <w:r w:rsidR="00AA544D">
              <w:t>Professional Services, Inc.</w:t>
            </w:r>
          </w:p>
        </w:tc>
        <w:tc>
          <w:tcPr>
            <w:tcW w:w="6708" w:type="dxa"/>
          </w:tcPr>
          <w:p w14:paraId="7FE588D6" w14:textId="3EDC3728" w:rsidR="00A41934" w:rsidRDefault="00A6660E" w:rsidP="00B562B0">
            <w:pPr>
              <w:pStyle w:val="BodyText"/>
            </w:pPr>
            <w:r>
              <w:t xml:space="preserve">President Fellows discussed </w:t>
            </w:r>
            <w:r w:rsidR="005D3488">
              <w:t>the engagement of Westwood</w:t>
            </w:r>
            <w:r w:rsidR="00516EB4">
              <w:t xml:space="preserve"> Professional Service</w:t>
            </w:r>
            <w:r w:rsidR="00AA544D">
              <w:t>s</w:t>
            </w:r>
            <w:r w:rsidR="00516EB4">
              <w:t>, Inc.</w:t>
            </w:r>
            <w:r w:rsidR="005D3488">
              <w:t xml:space="preserve"> to replace Olsson, Inc. for </w:t>
            </w:r>
            <w:r w:rsidR="00E277C0">
              <w:t xml:space="preserve">the various projects in the Authority </w:t>
            </w:r>
            <w:r w:rsidR="00AA3005">
              <w:t>noting</w:t>
            </w:r>
            <w:r w:rsidR="00E277C0">
              <w:t xml:space="preserve"> that Westwood</w:t>
            </w:r>
            <w:r w:rsidR="00AA544D">
              <w:t xml:space="preserve"> Professional Services, Inc.</w:t>
            </w:r>
            <w:r w:rsidR="00E277C0">
              <w:t xml:space="preserve"> may not have the available staff to complete certain pieces of the project</w:t>
            </w:r>
            <w:r w:rsidR="00AA3005">
              <w:t>s</w:t>
            </w:r>
            <w:r w:rsidR="00E277C0">
              <w:t xml:space="preserve"> and </w:t>
            </w:r>
            <w:r w:rsidR="00AE1604">
              <w:t xml:space="preserve">this would mean that certain pieces would have to be outsourced to another engineering firm. Following discussion, a motion duly made by President Fellows, seconded by Director O’Connor, the Board approved </w:t>
            </w:r>
            <w:r w:rsidR="00EC6B10">
              <w:t xml:space="preserve">the engagement of Westwood </w:t>
            </w:r>
            <w:r w:rsidR="00AA544D">
              <w:t>Professional Services, Inc.</w:t>
            </w:r>
            <w:r w:rsidR="00AA544D">
              <w:t>,</w:t>
            </w:r>
            <w:r w:rsidR="00EC6B10">
              <w:t xml:space="preserve"> </w:t>
            </w:r>
            <w:bookmarkStart w:id="0" w:name="_GoBack"/>
            <w:bookmarkEnd w:id="0"/>
            <w:r w:rsidR="00EC6B10">
              <w:t xml:space="preserve">subject to review and approval of an engagement letter by legal counsel with input and </w:t>
            </w:r>
            <w:r w:rsidR="000251F4">
              <w:t xml:space="preserve">approval from </w:t>
            </w:r>
            <w:r w:rsidR="00AA3005">
              <w:t>Merrick &amp; Company.</w:t>
            </w:r>
          </w:p>
          <w:p w14:paraId="4D33B6A9" w14:textId="3F74D393" w:rsidR="0090545A" w:rsidRDefault="0090545A" w:rsidP="00B562B0">
            <w:pPr>
              <w:pStyle w:val="BodyText"/>
            </w:pPr>
          </w:p>
        </w:tc>
      </w:tr>
      <w:tr w:rsidR="00A41934" w:rsidRPr="006406B6" w14:paraId="4352118E" w14:textId="77777777" w:rsidTr="00F21E28">
        <w:tc>
          <w:tcPr>
            <w:tcW w:w="2868" w:type="dxa"/>
          </w:tcPr>
          <w:p w14:paraId="2B2F011A" w14:textId="117CDBF6" w:rsidR="00A41934" w:rsidRPr="006439DE" w:rsidRDefault="000251F4" w:rsidP="00B562B0">
            <w:pPr>
              <w:widowControl w:val="0"/>
            </w:pPr>
            <w:r>
              <w:t>E</w:t>
            </w:r>
            <w:r w:rsidR="00AB535F" w:rsidRPr="006439DE">
              <w:t>ngagement of Polsinelli, P.C. as special counsel to Authority related to termination of Olsson, Inc. Service</w:t>
            </w:r>
            <w:r w:rsidR="009063AE">
              <w:t>s</w:t>
            </w:r>
            <w:r w:rsidR="00AB535F" w:rsidRPr="006439DE">
              <w:t xml:space="preserve"> Agreements</w:t>
            </w:r>
          </w:p>
        </w:tc>
        <w:tc>
          <w:tcPr>
            <w:tcW w:w="6708" w:type="dxa"/>
          </w:tcPr>
          <w:p w14:paraId="05179AD5" w14:textId="45184357" w:rsidR="00A41934" w:rsidRDefault="00371966" w:rsidP="00B562B0">
            <w:pPr>
              <w:pStyle w:val="BodyText"/>
            </w:pPr>
            <w:r>
              <w:t xml:space="preserve">President Fellows discussed the engagement of </w:t>
            </w:r>
            <w:r w:rsidRPr="006439DE">
              <w:t xml:space="preserve">Polsinelli, P.C. as special counsel to </w:t>
            </w:r>
            <w:r w:rsidR="00A747F4">
              <w:t xml:space="preserve">the </w:t>
            </w:r>
            <w:r w:rsidRPr="006439DE">
              <w:t>Authority related to termination of Olsson, Inc. Service</w:t>
            </w:r>
            <w:r w:rsidR="009063AE">
              <w:t>s</w:t>
            </w:r>
            <w:r w:rsidRPr="006439DE">
              <w:t xml:space="preserve"> Agreements</w:t>
            </w:r>
            <w:r>
              <w:t xml:space="preserve"> stating that legal counsel </w:t>
            </w:r>
            <w:r w:rsidR="00EF551D">
              <w:t>has reviewed Polsinelli, P.C.’s letter of engagement.</w:t>
            </w:r>
            <w:r w:rsidR="00AD127F">
              <w:t xml:space="preserve"> Following discussion, a motion duly made by President Fellows</w:t>
            </w:r>
            <w:r w:rsidR="007F4DED">
              <w:t xml:space="preserve">, seconded by Director O’Connor, the Board approved the engagement of </w:t>
            </w:r>
            <w:r w:rsidR="007F4DED" w:rsidRPr="006439DE">
              <w:t xml:space="preserve">Polsinelli, P.C. as special counsel to </w:t>
            </w:r>
            <w:r w:rsidR="009063AE">
              <w:t xml:space="preserve">the </w:t>
            </w:r>
            <w:r w:rsidR="007F4DED" w:rsidRPr="006439DE">
              <w:t>Authority related to termination of Olsson, Inc. Service</w:t>
            </w:r>
            <w:r w:rsidR="009063AE">
              <w:t>s</w:t>
            </w:r>
            <w:r w:rsidR="007F4DED" w:rsidRPr="006439DE">
              <w:t xml:space="preserve"> Agreements</w:t>
            </w:r>
            <w:r w:rsidR="007F4DED">
              <w:t>.</w:t>
            </w:r>
          </w:p>
          <w:p w14:paraId="454A0296" w14:textId="23BF832A" w:rsidR="0090545A" w:rsidRDefault="0090545A" w:rsidP="00B562B0">
            <w:pPr>
              <w:pStyle w:val="BodyText"/>
            </w:pPr>
          </w:p>
        </w:tc>
      </w:tr>
      <w:tr w:rsidR="00A41934" w:rsidRPr="006406B6" w14:paraId="6ECCE2AC" w14:textId="77777777" w:rsidTr="00F21E28">
        <w:tc>
          <w:tcPr>
            <w:tcW w:w="2868" w:type="dxa"/>
          </w:tcPr>
          <w:p w14:paraId="1BDA63FB" w14:textId="68D026D4" w:rsidR="00A41934" w:rsidRPr="006439DE" w:rsidRDefault="00AB535F" w:rsidP="00B562B0">
            <w:pPr>
              <w:widowControl w:val="0"/>
            </w:pPr>
            <w:r w:rsidRPr="006439DE">
              <w:lastRenderedPageBreak/>
              <w:t xml:space="preserve">Executive Session to Receive Legal Advice from </w:t>
            </w:r>
            <w:r w:rsidR="000D1D9C">
              <w:t>the Authority’s</w:t>
            </w:r>
            <w:r w:rsidRPr="006439DE">
              <w:t xml:space="preserve"> Counsel on Specific Legal Questions Pursuant to C.R.S., §24-6-402(4)(b) regarding the termination of Olsson, Inc. Services Agreements</w:t>
            </w:r>
          </w:p>
        </w:tc>
        <w:tc>
          <w:tcPr>
            <w:tcW w:w="6708" w:type="dxa"/>
          </w:tcPr>
          <w:p w14:paraId="163897B7" w14:textId="548F4CF2" w:rsidR="00E62CDC" w:rsidRDefault="00E62CDC" w:rsidP="00E62CDC">
            <w:pPr>
              <w:pStyle w:val="BodyText"/>
            </w:pPr>
            <w:r w:rsidRPr="00CB51D1">
              <w:t xml:space="preserve">The Board moved that the regular meeting of the Board be temporarily adjourned and that </w:t>
            </w:r>
            <w:r w:rsidR="009063AE">
              <w:t>the</w:t>
            </w:r>
            <w:r w:rsidRPr="00CB51D1">
              <w:t xml:space="preserve"> Board reconvene in Executive Session pursuant to Section 24-6-402(4)(b), C.R.S., to confer with</w:t>
            </w:r>
            <w:r w:rsidR="00285CB3">
              <w:t xml:space="preserve"> </w:t>
            </w:r>
            <w:r w:rsidR="004B5855">
              <w:t xml:space="preserve">the </w:t>
            </w:r>
            <w:r w:rsidR="004B5855" w:rsidRPr="00CB51D1">
              <w:t>Authority’s</w:t>
            </w:r>
            <w:r w:rsidRPr="00CB51D1">
              <w:t xml:space="preserve"> </w:t>
            </w:r>
            <w:r w:rsidR="00AD0463">
              <w:t>c</w:t>
            </w:r>
            <w:r w:rsidRPr="00CB51D1">
              <w:t xml:space="preserve">ounsel to </w:t>
            </w:r>
            <w:r w:rsidR="00AD0463">
              <w:t>receive</w:t>
            </w:r>
            <w:r w:rsidRPr="00CB51D1">
              <w:t xml:space="preserve"> legal advice regarding the </w:t>
            </w:r>
            <w:r w:rsidR="00DD4DBC">
              <w:t>Authority’s</w:t>
            </w:r>
            <w:r w:rsidRPr="00CB51D1">
              <w:t xml:space="preserve"> </w:t>
            </w:r>
            <w:r w:rsidR="00DD4DBC" w:rsidRPr="006439DE">
              <w:t>termination of Olsson, Inc. Services Agreements</w:t>
            </w:r>
            <w:r w:rsidR="00DD4DBC" w:rsidRPr="00CB51D1">
              <w:t xml:space="preserve"> </w:t>
            </w:r>
            <w:r w:rsidRPr="00CB51D1">
              <w:t xml:space="preserve">and related issues.  The Board temporarily adjourned the regular meeting at </w:t>
            </w:r>
            <w:r>
              <w:t>12:39</w:t>
            </w:r>
            <w:r w:rsidRPr="00CB51D1">
              <w:t xml:space="preserve"> p.m. and reconvened in Executive Session. </w:t>
            </w:r>
            <w:r w:rsidR="00FB0534">
              <w:t xml:space="preserve">Director </w:t>
            </w:r>
            <w:r w:rsidR="00FB0534" w:rsidRPr="006406B6">
              <w:rPr>
                <w:szCs w:val="24"/>
              </w:rPr>
              <w:t>Kaufman</w:t>
            </w:r>
            <w:r w:rsidR="00FB0534">
              <w:rPr>
                <w:szCs w:val="24"/>
              </w:rPr>
              <w:t xml:space="preserve"> arrived. </w:t>
            </w:r>
          </w:p>
          <w:p w14:paraId="6F0AA725" w14:textId="77777777" w:rsidR="00E62CDC" w:rsidRPr="00CB51D1" w:rsidRDefault="00E62CDC" w:rsidP="00E62CDC">
            <w:pPr>
              <w:pStyle w:val="BodyText"/>
            </w:pPr>
          </w:p>
          <w:p w14:paraId="6CDD0A0C" w14:textId="77777777" w:rsidR="00A41934" w:rsidRDefault="00E62CDC" w:rsidP="00E62CDC">
            <w:pPr>
              <w:pStyle w:val="BodyText"/>
            </w:pPr>
            <w:r w:rsidRPr="00CB51D1">
              <w:t xml:space="preserve">The Board then reconvened in regular session at </w:t>
            </w:r>
            <w:r>
              <w:t xml:space="preserve">1:25 </w:t>
            </w:r>
            <w:r w:rsidRPr="00CB51D1">
              <w:t>p.m.</w:t>
            </w:r>
          </w:p>
          <w:p w14:paraId="243A61F6" w14:textId="759B962C" w:rsidR="0090545A" w:rsidRDefault="0090545A" w:rsidP="00E62CDC">
            <w:pPr>
              <w:pStyle w:val="BodyText"/>
            </w:pPr>
          </w:p>
        </w:tc>
      </w:tr>
      <w:tr w:rsidR="00AB535F" w:rsidRPr="006406B6" w14:paraId="34FBEFAC" w14:textId="77777777" w:rsidTr="00F21E28">
        <w:tc>
          <w:tcPr>
            <w:tcW w:w="2868" w:type="dxa"/>
          </w:tcPr>
          <w:p w14:paraId="663EC7EA" w14:textId="4AE8EC3B" w:rsidR="00AB535F" w:rsidRPr="006439DE" w:rsidRDefault="00FD3330" w:rsidP="00B562B0">
            <w:pPr>
              <w:widowControl w:val="0"/>
            </w:pPr>
            <w:r w:rsidRPr="006439DE">
              <w:t>Polsinelli, P.C.</w:t>
            </w:r>
            <w:r>
              <w:t>,</w:t>
            </w:r>
            <w:r w:rsidR="00AB535F" w:rsidRPr="006439DE">
              <w:t xml:space="preserve"> preparing and sending letter to Olsson</w:t>
            </w:r>
            <w:r w:rsidR="00AA544D">
              <w:t>,</w:t>
            </w:r>
            <w:r w:rsidR="00AB535F" w:rsidRPr="006439DE">
              <w:t xml:space="preserve"> Inc. regarding termination of services</w:t>
            </w:r>
          </w:p>
        </w:tc>
        <w:tc>
          <w:tcPr>
            <w:tcW w:w="6708" w:type="dxa"/>
          </w:tcPr>
          <w:p w14:paraId="3E104638" w14:textId="6674E3D4" w:rsidR="00AB535F" w:rsidRDefault="00FD3330" w:rsidP="00B562B0">
            <w:pPr>
              <w:pStyle w:val="BodyText"/>
            </w:pPr>
            <w:r>
              <w:t>President Fellows discussed with the Board</w:t>
            </w:r>
            <w:r w:rsidR="00894CB6">
              <w:t xml:space="preserve"> </w:t>
            </w:r>
            <w:r w:rsidR="00516EB4">
              <w:t xml:space="preserve">the termination of Olsson, Inc. and proposed authorizing </w:t>
            </w:r>
            <w:r w:rsidR="00F910AC">
              <w:t>Mr. Gurr prepar</w:t>
            </w:r>
            <w:r w:rsidR="00516EB4">
              <w:t>e</w:t>
            </w:r>
            <w:r w:rsidR="00F910AC">
              <w:t xml:space="preserve"> and send</w:t>
            </w:r>
            <w:r w:rsidR="00365FAA">
              <w:t xml:space="preserve"> a</w:t>
            </w:r>
            <w:r w:rsidR="00F910AC">
              <w:t xml:space="preserve"> letter to Olsson, Inc. regarding the termination of services. </w:t>
            </w:r>
            <w:r w:rsidR="00FE0925">
              <w:t>Following discussion, a motion duly made by President Fellows, seconded by Director O’Connor, the Board approved Mr. Gurr preparing and sending</w:t>
            </w:r>
            <w:r w:rsidR="00365FAA">
              <w:t xml:space="preserve"> a</w:t>
            </w:r>
            <w:r w:rsidR="00FE0925">
              <w:t xml:space="preserve"> letter to Olsson, Inc. regarding the termination of services.</w:t>
            </w:r>
          </w:p>
          <w:p w14:paraId="11884CEE" w14:textId="76D75622" w:rsidR="0090545A" w:rsidRDefault="0090545A" w:rsidP="00B562B0">
            <w:pPr>
              <w:pStyle w:val="BodyText"/>
            </w:pPr>
          </w:p>
        </w:tc>
      </w:tr>
      <w:tr w:rsidR="00AB535F" w:rsidRPr="006406B6" w14:paraId="3464E3F3" w14:textId="77777777" w:rsidTr="00F21E28">
        <w:tc>
          <w:tcPr>
            <w:tcW w:w="2868" w:type="dxa"/>
          </w:tcPr>
          <w:p w14:paraId="4F169B99" w14:textId="64BB61CF" w:rsidR="00AB535F" w:rsidRPr="006439DE" w:rsidRDefault="00FD3330" w:rsidP="00B562B0">
            <w:pPr>
              <w:widowControl w:val="0"/>
            </w:pPr>
            <w:r>
              <w:t>R</w:t>
            </w:r>
            <w:r w:rsidR="00AB535F" w:rsidRPr="006439DE">
              <w:t>escinding the Board’s previous approval of invoices for services rendered by Olsson, Inc</w:t>
            </w:r>
            <w:r w:rsidR="00AA544D">
              <w:t>.</w:t>
            </w:r>
            <w:r w:rsidR="00AB535F" w:rsidRPr="006439DE">
              <w:t xml:space="preserve"> in November and December 2022</w:t>
            </w:r>
          </w:p>
        </w:tc>
        <w:tc>
          <w:tcPr>
            <w:tcW w:w="6708" w:type="dxa"/>
          </w:tcPr>
          <w:p w14:paraId="73FBF4D7" w14:textId="34249C03" w:rsidR="00AB535F" w:rsidRDefault="00151044" w:rsidP="00B562B0">
            <w:pPr>
              <w:pStyle w:val="BodyText"/>
            </w:pPr>
            <w:r>
              <w:t>President Fellows discussed</w:t>
            </w:r>
            <w:r w:rsidR="00C5071B">
              <w:t xml:space="preserve"> with the Board</w:t>
            </w:r>
            <w:r>
              <w:t xml:space="preserve"> r</w:t>
            </w:r>
            <w:r w:rsidRPr="006439DE">
              <w:t>escinding the Board’s previous approval of Olsson, Inc</w:t>
            </w:r>
            <w:r w:rsidR="00AA544D">
              <w:t>.’s</w:t>
            </w:r>
            <w:r w:rsidRPr="006439DE">
              <w:t xml:space="preserve"> November and December </w:t>
            </w:r>
            <w:r w:rsidR="00365FAA">
              <w:t xml:space="preserve">of </w:t>
            </w:r>
            <w:r w:rsidRPr="006439DE">
              <w:t>2022</w:t>
            </w:r>
            <w:r w:rsidR="00AA544D">
              <w:t xml:space="preserve"> invoices,</w:t>
            </w:r>
            <w:r>
              <w:t xml:space="preserve"> noting that the</w:t>
            </w:r>
            <w:r w:rsidR="00C5071B">
              <w:t>re is an indication that the</w:t>
            </w:r>
            <w:r>
              <w:t xml:space="preserve"> services </w:t>
            </w:r>
            <w:r w:rsidR="00C5071B">
              <w:t>were</w:t>
            </w:r>
            <w:r>
              <w:t xml:space="preserve"> improperly billed in advance of Olsson, Inc. rendering the services</w:t>
            </w:r>
            <w:r w:rsidR="00AA544D">
              <w:t xml:space="preserve"> invoices</w:t>
            </w:r>
            <w:r>
              <w:t xml:space="preserve">. </w:t>
            </w:r>
            <w:r w:rsidR="00C732E5">
              <w:t xml:space="preserve">Following discussion, a motion duly made by President Fellows, seconded by Director O’Connor, the Board rescinded </w:t>
            </w:r>
            <w:r w:rsidR="00C732E5" w:rsidRPr="006439DE">
              <w:t>previous approval of invoices for services rendered by Olsson, Inc</w:t>
            </w:r>
            <w:r w:rsidR="00C732E5">
              <w:t>.</w:t>
            </w:r>
          </w:p>
          <w:p w14:paraId="315C1380" w14:textId="788DD39C" w:rsidR="00C732E5" w:rsidRDefault="00C732E5" w:rsidP="00B562B0">
            <w:pPr>
              <w:pStyle w:val="BodyText"/>
            </w:pPr>
          </w:p>
        </w:tc>
      </w:tr>
      <w:tr w:rsidR="006439DE" w:rsidRPr="006406B6" w14:paraId="2E13E9E2" w14:textId="77777777" w:rsidTr="00F21E28">
        <w:tc>
          <w:tcPr>
            <w:tcW w:w="2868" w:type="dxa"/>
          </w:tcPr>
          <w:p w14:paraId="6181C959" w14:textId="46E5BC12" w:rsidR="006439DE" w:rsidRPr="006439DE" w:rsidRDefault="00C732E5" w:rsidP="00B562B0">
            <w:pPr>
              <w:widowControl w:val="0"/>
            </w:pPr>
            <w:r>
              <w:t>A</w:t>
            </w:r>
            <w:r w:rsidR="006439DE" w:rsidRPr="006439DE">
              <w:t>ppointing</w:t>
            </w:r>
            <w:r>
              <w:t xml:space="preserve"> President Fellows</w:t>
            </w:r>
            <w:r w:rsidR="006439DE" w:rsidRPr="006439DE">
              <w:t xml:space="preserve"> as a one-person litigation committee to work with the </w:t>
            </w:r>
            <w:r w:rsidR="00F3283E">
              <w:t>Authority’s counsel</w:t>
            </w:r>
            <w:r w:rsidR="006439DE" w:rsidRPr="006439DE">
              <w:t xml:space="preserve"> (MPR and Steve Gurr) to terminate Olsson</w:t>
            </w:r>
            <w:r w:rsidR="006F0A23">
              <w:t>,</w:t>
            </w:r>
            <w:r w:rsidR="006439DE" w:rsidRPr="006439DE">
              <w:t xml:space="preserve"> Inc. services</w:t>
            </w:r>
          </w:p>
        </w:tc>
        <w:tc>
          <w:tcPr>
            <w:tcW w:w="6708" w:type="dxa"/>
          </w:tcPr>
          <w:p w14:paraId="34E7B49F" w14:textId="342D67B4" w:rsidR="0075178C" w:rsidRPr="0075178C" w:rsidRDefault="0075178C" w:rsidP="0075178C">
            <w:pPr>
              <w:rPr>
                <w:sz w:val="22"/>
              </w:rPr>
            </w:pPr>
            <w:r>
              <w:t xml:space="preserve">The Board discussed the appointment of President Fellows </w:t>
            </w:r>
            <w:r w:rsidR="00AA544D">
              <w:t>to serve as the District’s</w:t>
            </w:r>
            <w:r w:rsidRPr="0075178C">
              <w:t xml:space="preserve"> litigation committee to work with the </w:t>
            </w:r>
            <w:r w:rsidR="00306A76">
              <w:t>Authority’s counsel</w:t>
            </w:r>
            <w:r w:rsidRPr="0075178C">
              <w:t xml:space="preserve"> (</w:t>
            </w:r>
            <w:r w:rsidR="00BA3DA4">
              <w:t>Mr.</w:t>
            </w:r>
            <w:r w:rsidRPr="0075178C">
              <w:t xml:space="preserve"> Gurr</w:t>
            </w:r>
            <w:r w:rsidR="00AA544D">
              <w:t xml:space="preserve"> and Mr. Ruhland</w:t>
            </w:r>
            <w:r w:rsidRPr="0075178C">
              <w:t xml:space="preserve">) to terminate Olsson Inc. services. </w:t>
            </w:r>
            <w:r w:rsidR="00BA3DA4">
              <w:t xml:space="preserve">Following discussion, a motion duly made by </w:t>
            </w:r>
            <w:r w:rsidR="009A41E4">
              <w:t>Director O’Connor</w:t>
            </w:r>
            <w:r w:rsidR="00BA3DA4">
              <w:t>, seconded by Director</w:t>
            </w:r>
            <w:r w:rsidR="009A41E4">
              <w:t xml:space="preserve"> Kaufman</w:t>
            </w:r>
            <w:r w:rsidR="00BA3DA4">
              <w:t>, the Board</w:t>
            </w:r>
            <w:r w:rsidR="009A41E4">
              <w:t xml:space="preserve"> appointed President Fellows </w:t>
            </w:r>
            <w:r w:rsidR="006F0A23" w:rsidRPr="006439DE">
              <w:t xml:space="preserve">as </w:t>
            </w:r>
            <w:r w:rsidR="00AA544D">
              <w:t>the District’s</w:t>
            </w:r>
            <w:r w:rsidR="006F0A23" w:rsidRPr="006439DE">
              <w:t xml:space="preserve"> litigation committee to work with the </w:t>
            </w:r>
            <w:r w:rsidR="00046023">
              <w:t>Authority’s counsel</w:t>
            </w:r>
            <w:r w:rsidR="006F0A23">
              <w:t xml:space="preserve"> to terminate Olsson, Inc.</w:t>
            </w:r>
          </w:p>
          <w:p w14:paraId="4B16359F" w14:textId="62D80D8F" w:rsidR="006439DE" w:rsidRDefault="006439DE" w:rsidP="00B562B0">
            <w:pPr>
              <w:pStyle w:val="BodyText"/>
            </w:pPr>
          </w:p>
        </w:tc>
      </w:tr>
      <w:tr w:rsidR="006439DE" w:rsidRPr="006406B6" w14:paraId="54933603" w14:textId="77777777" w:rsidTr="00B85E34">
        <w:trPr>
          <w:trHeight w:val="2250"/>
        </w:trPr>
        <w:tc>
          <w:tcPr>
            <w:tcW w:w="2868" w:type="dxa"/>
          </w:tcPr>
          <w:p w14:paraId="41892B8E" w14:textId="3D0596C1" w:rsidR="006439DE" w:rsidRPr="006439DE" w:rsidRDefault="006439DE" w:rsidP="00B562B0">
            <w:pPr>
              <w:widowControl w:val="0"/>
            </w:pPr>
            <w:r w:rsidRPr="006439DE">
              <w:t>Appointment of President Fellow</w:t>
            </w:r>
            <w:r w:rsidR="006F0A23">
              <w:t xml:space="preserve">s </w:t>
            </w:r>
            <w:r w:rsidRPr="006439DE">
              <w:t xml:space="preserve">to talk with </w:t>
            </w:r>
            <w:r w:rsidR="00B85E34">
              <w:t xml:space="preserve">the </w:t>
            </w:r>
            <w:r w:rsidRPr="006439DE">
              <w:t xml:space="preserve">engineering and accounting consultants to determine </w:t>
            </w:r>
            <w:r w:rsidR="00B85E34">
              <w:t xml:space="preserve">the </w:t>
            </w:r>
            <w:r w:rsidRPr="006439DE">
              <w:t>best course of action for calculating damages caused by Olsson, Inc</w:t>
            </w:r>
            <w:r w:rsidR="00AA544D">
              <w:t>.</w:t>
            </w:r>
          </w:p>
        </w:tc>
        <w:tc>
          <w:tcPr>
            <w:tcW w:w="6708" w:type="dxa"/>
          </w:tcPr>
          <w:p w14:paraId="7E20437B" w14:textId="2A0C82E0" w:rsidR="006439DE" w:rsidRDefault="006F0A23" w:rsidP="00B562B0">
            <w:pPr>
              <w:pStyle w:val="BodyText"/>
            </w:pPr>
            <w:r>
              <w:t xml:space="preserve">The Board discussed the appointment of President Fellows </w:t>
            </w:r>
            <w:r w:rsidRPr="006439DE">
              <w:t xml:space="preserve">to talk with </w:t>
            </w:r>
            <w:r w:rsidR="00B85E34">
              <w:t xml:space="preserve">the </w:t>
            </w:r>
            <w:r w:rsidRPr="006439DE">
              <w:t xml:space="preserve">engineering and accounting consultants to determine </w:t>
            </w:r>
            <w:r w:rsidR="00B85E34">
              <w:t xml:space="preserve">the </w:t>
            </w:r>
            <w:r w:rsidRPr="006439DE">
              <w:t xml:space="preserve">best course of action for </w:t>
            </w:r>
            <w:r w:rsidR="00AA544D">
              <w:t xml:space="preserve">possible </w:t>
            </w:r>
            <w:r w:rsidRPr="006439DE">
              <w:t>calculating damages caused by Olsson, Inc</w:t>
            </w:r>
            <w:r>
              <w:t>.</w:t>
            </w:r>
            <w:r w:rsidR="008077AA">
              <w:t xml:space="preserve"> Following discussion, a motion duly made by Director O’Connor, seconded by Director Kaufman, the Board appointed President Fellows </w:t>
            </w:r>
            <w:r w:rsidR="008077AA" w:rsidRPr="006439DE">
              <w:t xml:space="preserve">to talk with </w:t>
            </w:r>
            <w:r w:rsidR="00B85E34">
              <w:t xml:space="preserve">the </w:t>
            </w:r>
            <w:r w:rsidR="008077AA" w:rsidRPr="006439DE">
              <w:t xml:space="preserve">engineering and accounting consultants to determine best course of action for calculating </w:t>
            </w:r>
            <w:r w:rsidR="00AA544D">
              <w:t xml:space="preserve">possible </w:t>
            </w:r>
            <w:r w:rsidR="008077AA" w:rsidRPr="006439DE">
              <w:t>damages caused by Olsson, Inc</w:t>
            </w:r>
            <w:r w:rsidR="008077AA">
              <w:t>.</w:t>
            </w:r>
          </w:p>
          <w:p w14:paraId="4658B7E2" w14:textId="2250502B" w:rsidR="008077AA" w:rsidRDefault="008077AA" w:rsidP="00B562B0">
            <w:pPr>
              <w:pStyle w:val="BodyText"/>
            </w:pPr>
          </w:p>
        </w:tc>
      </w:tr>
      <w:tr w:rsidR="00AA3005" w:rsidRPr="006406B6" w14:paraId="0188825B" w14:textId="77777777" w:rsidTr="00F21E28">
        <w:tc>
          <w:tcPr>
            <w:tcW w:w="2868" w:type="dxa"/>
          </w:tcPr>
          <w:p w14:paraId="67829860" w14:textId="77777777" w:rsidR="00AA3005" w:rsidRPr="006406B6" w:rsidRDefault="00AA3005" w:rsidP="00B562B0">
            <w:pPr>
              <w:widowControl w:val="0"/>
              <w:rPr>
                <w:szCs w:val="24"/>
              </w:rPr>
            </w:pPr>
            <w:r w:rsidRPr="006406B6">
              <w:rPr>
                <w:szCs w:val="24"/>
              </w:rPr>
              <w:t>Other Matters</w:t>
            </w:r>
          </w:p>
          <w:p w14:paraId="2DEA426C" w14:textId="5E6A261F" w:rsidR="00AA3005" w:rsidRDefault="00AA3005" w:rsidP="00B562B0">
            <w:pPr>
              <w:widowControl w:val="0"/>
            </w:pPr>
          </w:p>
        </w:tc>
        <w:tc>
          <w:tcPr>
            <w:tcW w:w="6708" w:type="dxa"/>
          </w:tcPr>
          <w:p w14:paraId="1AAD1481" w14:textId="77777777" w:rsidR="00AA3005" w:rsidRPr="00CB5DD8" w:rsidRDefault="00AA3005" w:rsidP="00B562B0">
            <w:pPr>
              <w:pStyle w:val="BodyTextIndent3"/>
              <w:keepNext/>
              <w:keepLines/>
              <w:widowControl/>
              <w:ind w:left="0" w:firstLine="0"/>
              <w:rPr>
                <w:rFonts w:ascii="Times New Roman" w:hAnsi="Times New Roman"/>
                <w:szCs w:val="24"/>
              </w:rPr>
            </w:pPr>
            <w:r>
              <w:rPr>
                <w:rFonts w:ascii="Times New Roman" w:hAnsi="Times New Roman"/>
                <w:szCs w:val="24"/>
              </w:rPr>
              <w:t>None.</w:t>
            </w:r>
          </w:p>
          <w:p w14:paraId="0F0302A1" w14:textId="73C81DA8" w:rsidR="00AA3005" w:rsidRDefault="00AA3005" w:rsidP="00B562B0">
            <w:pPr>
              <w:pStyle w:val="BodyText"/>
            </w:pPr>
          </w:p>
        </w:tc>
      </w:tr>
      <w:tr w:rsidR="00AA3005" w:rsidRPr="006406B6" w14:paraId="17679008" w14:textId="77777777" w:rsidTr="00F21E28">
        <w:tc>
          <w:tcPr>
            <w:tcW w:w="2868" w:type="dxa"/>
          </w:tcPr>
          <w:p w14:paraId="722189B9" w14:textId="7CF84EF5" w:rsidR="00AA3005" w:rsidRPr="006406B6" w:rsidRDefault="00AA3005" w:rsidP="00B562B0">
            <w:pPr>
              <w:widowControl w:val="0"/>
            </w:pPr>
            <w:r w:rsidRPr="006406B6">
              <w:rPr>
                <w:szCs w:val="24"/>
              </w:rPr>
              <w:lastRenderedPageBreak/>
              <w:t>Adjournment</w:t>
            </w:r>
          </w:p>
        </w:tc>
        <w:tc>
          <w:tcPr>
            <w:tcW w:w="6708" w:type="dxa"/>
          </w:tcPr>
          <w:p w14:paraId="5CFA12C0" w14:textId="77777777" w:rsidR="00AA3005" w:rsidRPr="006406B6" w:rsidRDefault="00AA3005" w:rsidP="00B562B0">
            <w:pPr>
              <w:pStyle w:val="BodyTextIndent3"/>
              <w:keepNext/>
              <w:keepLines/>
              <w:widowControl/>
              <w:ind w:left="0" w:firstLine="0"/>
              <w:rPr>
                <w:rFonts w:ascii="Times New Roman" w:hAnsi="Times New Roman"/>
                <w:szCs w:val="24"/>
              </w:rPr>
            </w:pPr>
            <w:r w:rsidRPr="006406B6">
              <w:rPr>
                <w:rFonts w:ascii="Times New Roman" w:hAnsi="Times New Roman"/>
                <w:szCs w:val="24"/>
              </w:rPr>
              <w:t xml:space="preserve">There being no further business to come before the Board the meeting was adjourned.  </w:t>
            </w:r>
          </w:p>
          <w:p w14:paraId="00AE326F" w14:textId="77777777" w:rsidR="00AA3005" w:rsidRPr="006406B6" w:rsidRDefault="00AA3005" w:rsidP="00B562B0">
            <w:pPr>
              <w:pStyle w:val="BodyTextIndent3"/>
              <w:keepNext/>
              <w:keepLines/>
              <w:widowControl/>
              <w:ind w:left="0" w:firstLine="0"/>
              <w:rPr>
                <w:rFonts w:ascii="Times New Roman" w:hAnsi="Times New Roman"/>
                <w:szCs w:val="24"/>
              </w:rPr>
            </w:pPr>
          </w:p>
          <w:p w14:paraId="0BAD6E27" w14:textId="3C8BBF2F" w:rsidR="00AA3005" w:rsidRPr="006406B6" w:rsidRDefault="00AA3005" w:rsidP="00B562B0">
            <w:pPr>
              <w:pStyle w:val="BodyText"/>
            </w:pPr>
          </w:p>
        </w:tc>
      </w:tr>
      <w:tr w:rsidR="00AA3005" w:rsidRPr="006406B6" w14:paraId="401B9E4B" w14:textId="77777777" w:rsidTr="00F21E28">
        <w:tc>
          <w:tcPr>
            <w:tcW w:w="2868" w:type="dxa"/>
          </w:tcPr>
          <w:p w14:paraId="69837214" w14:textId="35D18845" w:rsidR="00AA3005" w:rsidRPr="006406B6" w:rsidRDefault="00AA3005" w:rsidP="00B562B0">
            <w:pPr>
              <w:widowControl w:val="0"/>
            </w:pPr>
          </w:p>
        </w:tc>
        <w:tc>
          <w:tcPr>
            <w:tcW w:w="6708" w:type="dxa"/>
          </w:tcPr>
          <w:p w14:paraId="72BC627F" w14:textId="2E768A55" w:rsidR="00AA3005" w:rsidRPr="006406B6" w:rsidRDefault="00AA3005" w:rsidP="00B562B0">
            <w:pPr>
              <w:pStyle w:val="BodyText"/>
            </w:pPr>
          </w:p>
        </w:tc>
      </w:tr>
      <w:tr w:rsidR="00AA3005" w:rsidRPr="006406B6" w14:paraId="11A7DDEC" w14:textId="77777777" w:rsidTr="00F21E28">
        <w:tc>
          <w:tcPr>
            <w:tcW w:w="2868" w:type="dxa"/>
          </w:tcPr>
          <w:p w14:paraId="1BEDDC19" w14:textId="0F851E5A" w:rsidR="00AA3005" w:rsidRPr="006406B6" w:rsidRDefault="00AA3005" w:rsidP="00B562B0">
            <w:pPr>
              <w:widowControl w:val="0"/>
            </w:pPr>
          </w:p>
        </w:tc>
        <w:tc>
          <w:tcPr>
            <w:tcW w:w="6708" w:type="dxa"/>
          </w:tcPr>
          <w:p w14:paraId="0F217590" w14:textId="7BF38CFC" w:rsidR="00AA3005" w:rsidRPr="0091526B" w:rsidRDefault="00AA3005" w:rsidP="00B562B0">
            <w:pPr>
              <w:pStyle w:val="BodyText"/>
              <w:rPr>
                <w:b/>
              </w:rPr>
            </w:pPr>
          </w:p>
        </w:tc>
      </w:tr>
    </w:tbl>
    <w:p w14:paraId="61388EEB" w14:textId="77777777" w:rsidR="00652DA2" w:rsidRPr="006406B6" w:rsidRDefault="00652DA2">
      <w:pPr>
        <w:keepNext/>
        <w:keepLines/>
        <w:suppressAutoHyphens/>
        <w:ind w:left="3150"/>
        <w:jc w:val="both"/>
        <w:rPr>
          <w:spacing w:val="-3"/>
          <w:szCs w:val="24"/>
          <w:u w:val="single"/>
        </w:rPr>
      </w:pPr>
    </w:p>
    <w:p w14:paraId="28AFF8E0" w14:textId="2B03D25B" w:rsidR="00652DA2" w:rsidRPr="006406B6" w:rsidRDefault="00652DA2">
      <w:pPr>
        <w:keepNext/>
        <w:keepLines/>
        <w:suppressAutoHyphens/>
        <w:ind w:left="3150"/>
        <w:jc w:val="both"/>
        <w:rPr>
          <w:spacing w:val="-3"/>
          <w:szCs w:val="24"/>
          <w:u w:val="single"/>
        </w:rPr>
      </w:pPr>
    </w:p>
    <w:p w14:paraId="3E921AA4" w14:textId="0A15EC2D" w:rsidR="00652DA2" w:rsidRPr="006406B6" w:rsidRDefault="00652DA2">
      <w:pPr>
        <w:keepNext/>
        <w:keepLines/>
        <w:suppressAutoHyphens/>
        <w:ind w:left="3150"/>
        <w:jc w:val="both"/>
        <w:rPr>
          <w:spacing w:val="-3"/>
          <w:szCs w:val="24"/>
          <w:u w:val="single"/>
        </w:rPr>
      </w:pPr>
    </w:p>
    <w:p w14:paraId="0F5DFC3C" w14:textId="4011A348" w:rsidR="00375259" w:rsidRPr="006406B6" w:rsidRDefault="00A71871">
      <w:pPr>
        <w:keepNext/>
        <w:keepLines/>
        <w:suppressAutoHyphens/>
        <w:ind w:left="3150"/>
        <w:jc w:val="both"/>
        <w:rPr>
          <w:spacing w:val="-3"/>
          <w:szCs w:val="24"/>
          <w:u w:val="single"/>
        </w:rPr>
      </w:pPr>
      <w:r w:rsidRPr="006406B6">
        <w:rPr>
          <w:spacing w:val="-3"/>
          <w:szCs w:val="24"/>
          <w:u w:val="single"/>
        </w:rPr>
        <w:tab/>
      </w:r>
      <w:r w:rsidR="00422F43" w:rsidRPr="006406B6">
        <w:rPr>
          <w:noProof/>
          <w:spacing w:val="-3"/>
          <w:szCs w:val="24"/>
          <w:u w:val="single"/>
        </w:rPr>
        <w:tab/>
      </w:r>
      <w:r w:rsidR="00422F43" w:rsidRPr="006406B6">
        <w:rPr>
          <w:noProof/>
          <w:spacing w:val="-3"/>
          <w:szCs w:val="24"/>
          <w:u w:val="single"/>
        </w:rPr>
        <w:tab/>
      </w:r>
      <w:r w:rsidR="00422F43" w:rsidRPr="006406B6">
        <w:rPr>
          <w:noProof/>
          <w:spacing w:val="-3"/>
          <w:szCs w:val="24"/>
          <w:u w:val="single"/>
        </w:rPr>
        <w:tab/>
      </w:r>
      <w:r w:rsidR="00422F43" w:rsidRPr="006406B6">
        <w:rPr>
          <w:noProof/>
          <w:spacing w:val="-3"/>
          <w:szCs w:val="24"/>
          <w:u w:val="single"/>
        </w:rPr>
        <w:tab/>
      </w:r>
      <w:r w:rsidR="00422F43" w:rsidRPr="006406B6">
        <w:rPr>
          <w:noProof/>
          <w:spacing w:val="-3"/>
          <w:szCs w:val="24"/>
          <w:u w:val="single"/>
        </w:rPr>
        <w:tab/>
      </w:r>
      <w:r w:rsidR="00422F43" w:rsidRPr="006406B6">
        <w:rPr>
          <w:noProof/>
          <w:spacing w:val="-3"/>
          <w:szCs w:val="24"/>
          <w:u w:val="single"/>
        </w:rPr>
        <w:tab/>
      </w:r>
      <w:r w:rsidRPr="006406B6">
        <w:rPr>
          <w:spacing w:val="-3"/>
          <w:szCs w:val="24"/>
          <w:u w:val="single"/>
        </w:rPr>
        <w:tab/>
      </w:r>
    </w:p>
    <w:p w14:paraId="23A2478A" w14:textId="77777777" w:rsidR="00375259" w:rsidRPr="006406B6" w:rsidRDefault="00A71871">
      <w:pPr>
        <w:ind w:left="3150"/>
        <w:jc w:val="both"/>
        <w:rPr>
          <w:szCs w:val="24"/>
        </w:rPr>
      </w:pPr>
      <w:r w:rsidRPr="006406B6">
        <w:rPr>
          <w:szCs w:val="24"/>
        </w:rPr>
        <w:t>Secretary for the Meeting</w:t>
      </w:r>
    </w:p>
    <w:sectPr w:rsidR="00375259" w:rsidRPr="00640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3440E3CC" w:rsidR="00143506" w:rsidRPr="00143506" w:rsidRDefault="00AA544D">
    <w:pPr>
      <w:pStyle w:val="Footer"/>
    </w:pPr>
    <w:r w:rsidRPr="00AA544D">
      <w:rPr>
        <w:noProof/>
      </w:rPr>
      <w:t>{00921405.DOCX / 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5749A"/>
    <w:multiLevelType w:val="hybridMultilevel"/>
    <w:tmpl w:val="02640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0712C"/>
    <w:rsid w:val="00011E02"/>
    <w:rsid w:val="00016282"/>
    <w:rsid w:val="0002232D"/>
    <w:rsid w:val="000251F4"/>
    <w:rsid w:val="00032FE6"/>
    <w:rsid w:val="00033AF9"/>
    <w:rsid w:val="00040DDF"/>
    <w:rsid w:val="00046023"/>
    <w:rsid w:val="000564FA"/>
    <w:rsid w:val="0005737A"/>
    <w:rsid w:val="0005782D"/>
    <w:rsid w:val="000727F0"/>
    <w:rsid w:val="0008212D"/>
    <w:rsid w:val="000904D2"/>
    <w:rsid w:val="00091B34"/>
    <w:rsid w:val="000A1B30"/>
    <w:rsid w:val="000D1584"/>
    <w:rsid w:val="000D1D9C"/>
    <w:rsid w:val="000F22A1"/>
    <w:rsid w:val="000F6FDF"/>
    <w:rsid w:val="001017A3"/>
    <w:rsid w:val="00110087"/>
    <w:rsid w:val="00116DB6"/>
    <w:rsid w:val="00143506"/>
    <w:rsid w:val="00143CC1"/>
    <w:rsid w:val="00151044"/>
    <w:rsid w:val="00167E42"/>
    <w:rsid w:val="001720A0"/>
    <w:rsid w:val="00184D3B"/>
    <w:rsid w:val="00186826"/>
    <w:rsid w:val="001A0372"/>
    <w:rsid w:val="001A3DBC"/>
    <w:rsid w:val="001B5144"/>
    <w:rsid w:val="001C1022"/>
    <w:rsid w:val="001C5297"/>
    <w:rsid w:val="001D3B18"/>
    <w:rsid w:val="001D5C48"/>
    <w:rsid w:val="00212D14"/>
    <w:rsid w:val="00212FBD"/>
    <w:rsid w:val="00213852"/>
    <w:rsid w:val="00214E19"/>
    <w:rsid w:val="00222AF4"/>
    <w:rsid w:val="00226BAC"/>
    <w:rsid w:val="002401F3"/>
    <w:rsid w:val="002435AB"/>
    <w:rsid w:val="00253AE0"/>
    <w:rsid w:val="002565DC"/>
    <w:rsid w:val="002617C8"/>
    <w:rsid w:val="002847CD"/>
    <w:rsid w:val="00285CB3"/>
    <w:rsid w:val="00285E8C"/>
    <w:rsid w:val="00290EF6"/>
    <w:rsid w:val="002A7671"/>
    <w:rsid w:val="002B7C72"/>
    <w:rsid w:val="002C2B22"/>
    <w:rsid w:val="002D1D9A"/>
    <w:rsid w:val="002D5C4A"/>
    <w:rsid w:val="002E72CF"/>
    <w:rsid w:val="002F1CFF"/>
    <w:rsid w:val="002F2368"/>
    <w:rsid w:val="00306A76"/>
    <w:rsid w:val="00312817"/>
    <w:rsid w:val="00321335"/>
    <w:rsid w:val="00324004"/>
    <w:rsid w:val="00324AAD"/>
    <w:rsid w:val="003638FE"/>
    <w:rsid w:val="00365FAA"/>
    <w:rsid w:val="00371966"/>
    <w:rsid w:val="00375259"/>
    <w:rsid w:val="003754AE"/>
    <w:rsid w:val="003875D3"/>
    <w:rsid w:val="0038774A"/>
    <w:rsid w:val="00395736"/>
    <w:rsid w:val="00396FEA"/>
    <w:rsid w:val="00397843"/>
    <w:rsid w:val="003A23D7"/>
    <w:rsid w:val="003B0158"/>
    <w:rsid w:val="003C1DAD"/>
    <w:rsid w:val="003D01B8"/>
    <w:rsid w:val="003D72C3"/>
    <w:rsid w:val="003E33BF"/>
    <w:rsid w:val="003E70EE"/>
    <w:rsid w:val="00414B2D"/>
    <w:rsid w:val="00422F43"/>
    <w:rsid w:val="00424611"/>
    <w:rsid w:val="0043592D"/>
    <w:rsid w:val="00435E2E"/>
    <w:rsid w:val="00437BFD"/>
    <w:rsid w:val="0044507F"/>
    <w:rsid w:val="004528DE"/>
    <w:rsid w:val="00462921"/>
    <w:rsid w:val="004740AF"/>
    <w:rsid w:val="00484CE6"/>
    <w:rsid w:val="00492444"/>
    <w:rsid w:val="00492936"/>
    <w:rsid w:val="00496C42"/>
    <w:rsid w:val="004A5E1B"/>
    <w:rsid w:val="004B412C"/>
    <w:rsid w:val="004B5855"/>
    <w:rsid w:val="004C4E01"/>
    <w:rsid w:val="004C520B"/>
    <w:rsid w:val="004D4858"/>
    <w:rsid w:val="004E58A5"/>
    <w:rsid w:val="00503F9B"/>
    <w:rsid w:val="00516EB4"/>
    <w:rsid w:val="005213F3"/>
    <w:rsid w:val="00522CA9"/>
    <w:rsid w:val="00541AB2"/>
    <w:rsid w:val="00542E37"/>
    <w:rsid w:val="005517D6"/>
    <w:rsid w:val="0055329F"/>
    <w:rsid w:val="00556924"/>
    <w:rsid w:val="00557A36"/>
    <w:rsid w:val="005614FB"/>
    <w:rsid w:val="005659E5"/>
    <w:rsid w:val="00565C74"/>
    <w:rsid w:val="0057751F"/>
    <w:rsid w:val="005A31CB"/>
    <w:rsid w:val="005B4524"/>
    <w:rsid w:val="005C3003"/>
    <w:rsid w:val="005C33F0"/>
    <w:rsid w:val="005D3488"/>
    <w:rsid w:val="005D4935"/>
    <w:rsid w:val="005E30BE"/>
    <w:rsid w:val="005E42F1"/>
    <w:rsid w:val="005F1320"/>
    <w:rsid w:val="005F5C1A"/>
    <w:rsid w:val="006039EB"/>
    <w:rsid w:val="00614A12"/>
    <w:rsid w:val="00615F77"/>
    <w:rsid w:val="006227B9"/>
    <w:rsid w:val="00631FC6"/>
    <w:rsid w:val="006368E0"/>
    <w:rsid w:val="006406B6"/>
    <w:rsid w:val="006439DE"/>
    <w:rsid w:val="00647F17"/>
    <w:rsid w:val="00652DA2"/>
    <w:rsid w:val="0065484D"/>
    <w:rsid w:val="006650A8"/>
    <w:rsid w:val="006907F3"/>
    <w:rsid w:val="006B0961"/>
    <w:rsid w:val="006B4367"/>
    <w:rsid w:val="006D383F"/>
    <w:rsid w:val="006D5DD4"/>
    <w:rsid w:val="006D5E5F"/>
    <w:rsid w:val="006E27F0"/>
    <w:rsid w:val="006F0A23"/>
    <w:rsid w:val="006F0F67"/>
    <w:rsid w:val="007058FB"/>
    <w:rsid w:val="00717E78"/>
    <w:rsid w:val="007204B7"/>
    <w:rsid w:val="0072195B"/>
    <w:rsid w:val="007259A7"/>
    <w:rsid w:val="0072603D"/>
    <w:rsid w:val="00742E52"/>
    <w:rsid w:val="00746447"/>
    <w:rsid w:val="0075178C"/>
    <w:rsid w:val="00760E31"/>
    <w:rsid w:val="00765DCF"/>
    <w:rsid w:val="00767246"/>
    <w:rsid w:val="00774CB2"/>
    <w:rsid w:val="0078078F"/>
    <w:rsid w:val="0078481D"/>
    <w:rsid w:val="0079251F"/>
    <w:rsid w:val="007A0AB2"/>
    <w:rsid w:val="007A322F"/>
    <w:rsid w:val="007E6AE9"/>
    <w:rsid w:val="007F3F9F"/>
    <w:rsid w:val="007F466E"/>
    <w:rsid w:val="007F4DED"/>
    <w:rsid w:val="00803B37"/>
    <w:rsid w:val="00804D12"/>
    <w:rsid w:val="008077AA"/>
    <w:rsid w:val="00810F01"/>
    <w:rsid w:val="008133B9"/>
    <w:rsid w:val="008319E0"/>
    <w:rsid w:val="00834728"/>
    <w:rsid w:val="00836D94"/>
    <w:rsid w:val="008466F9"/>
    <w:rsid w:val="008509D3"/>
    <w:rsid w:val="00864046"/>
    <w:rsid w:val="00874131"/>
    <w:rsid w:val="00883D26"/>
    <w:rsid w:val="00885C3F"/>
    <w:rsid w:val="00894CB6"/>
    <w:rsid w:val="008A0771"/>
    <w:rsid w:val="008E2F1B"/>
    <w:rsid w:val="008E3F7C"/>
    <w:rsid w:val="008F4290"/>
    <w:rsid w:val="0090545A"/>
    <w:rsid w:val="009063AE"/>
    <w:rsid w:val="0091526B"/>
    <w:rsid w:val="009246BA"/>
    <w:rsid w:val="00925417"/>
    <w:rsid w:val="00944C2B"/>
    <w:rsid w:val="009503BD"/>
    <w:rsid w:val="00950437"/>
    <w:rsid w:val="00954ADE"/>
    <w:rsid w:val="00960FC3"/>
    <w:rsid w:val="00965F45"/>
    <w:rsid w:val="0097073B"/>
    <w:rsid w:val="00970904"/>
    <w:rsid w:val="00974D06"/>
    <w:rsid w:val="00997412"/>
    <w:rsid w:val="009A41E4"/>
    <w:rsid w:val="009A4492"/>
    <w:rsid w:val="009A5BBA"/>
    <w:rsid w:val="009A6C35"/>
    <w:rsid w:val="009B0553"/>
    <w:rsid w:val="009C248F"/>
    <w:rsid w:val="009E51B0"/>
    <w:rsid w:val="00A02B61"/>
    <w:rsid w:val="00A03F97"/>
    <w:rsid w:val="00A077EA"/>
    <w:rsid w:val="00A161DD"/>
    <w:rsid w:val="00A17577"/>
    <w:rsid w:val="00A2102C"/>
    <w:rsid w:val="00A3278A"/>
    <w:rsid w:val="00A37AB4"/>
    <w:rsid w:val="00A41934"/>
    <w:rsid w:val="00A5366F"/>
    <w:rsid w:val="00A55AF1"/>
    <w:rsid w:val="00A629D4"/>
    <w:rsid w:val="00A64318"/>
    <w:rsid w:val="00A65CD5"/>
    <w:rsid w:val="00A6660E"/>
    <w:rsid w:val="00A71871"/>
    <w:rsid w:val="00A747F4"/>
    <w:rsid w:val="00A80FA9"/>
    <w:rsid w:val="00A84A2A"/>
    <w:rsid w:val="00A84F89"/>
    <w:rsid w:val="00A85880"/>
    <w:rsid w:val="00AA3005"/>
    <w:rsid w:val="00AA4757"/>
    <w:rsid w:val="00AA544D"/>
    <w:rsid w:val="00AA578C"/>
    <w:rsid w:val="00AA70ED"/>
    <w:rsid w:val="00AB535F"/>
    <w:rsid w:val="00AC4293"/>
    <w:rsid w:val="00AD0463"/>
    <w:rsid w:val="00AD127F"/>
    <w:rsid w:val="00AE1604"/>
    <w:rsid w:val="00AF1F95"/>
    <w:rsid w:val="00AF3794"/>
    <w:rsid w:val="00B005F0"/>
    <w:rsid w:val="00B00A55"/>
    <w:rsid w:val="00B12472"/>
    <w:rsid w:val="00B178A7"/>
    <w:rsid w:val="00B331E4"/>
    <w:rsid w:val="00B43260"/>
    <w:rsid w:val="00B50845"/>
    <w:rsid w:val="00B562B0"/>
    <w:rsid w:val="00B64DAC"/>
    <w:rsid w:val="00B72757"/>
    <w:rsid w:val="00B85E34"/>
    <w:rsid w:val="00BA2EC3"/>
    <w:rsid w:val="00BA3DA4"/>
    <w:rsid w:val="00BC0F35"/>
    <w:rsid w:val="00BC1374"/>
    <w:rsid w:val="00BC269A"/>
    <w:rsid w:val="00BD1302"/>
    <w:rsid w:val="00BE2465"/>
    <w:rsid w:val="00BF7292"/>
    <w:rsid w:val="00C13F9E"/>
    <w:rsid w:val="00C15CED"/>
    <w:rsid w:val="00C30659"/>
    <w:rsid w:val="00C37A77"/>
    <w:rsid w:val="00C43C4F"/>
    <w:rsid w:val="00C5071B"/>
    <w:rsid w:val="00C55436"/>
    <w:rsid w:val="00C62E5D"/>
    <w:rsid w:val="00C63D81"/>
    <w:rsid w:val="00C732E5"/>
    <w:rsid w:val="00C770CD"/>
    <w:rsid w:val="00C779CA"/>
    <w:rsid w:val="00C85D75"/>
    <w:rsid w:val="00C87350"/>
    <w:rsid w:val="00CA0113"/>
    <w:rsid w:val="00CB0716"/>
    <w:rsid w:val="00CB248C"/>
    <w:rsid w:val="00CB54ED"/>
    <w:rsid w:val="00CC4855"/>
    <w:rsid w:val="00CF1B25"/>
    <w:rsid w:val="00CF2ACA"/>
    <w:rsid w:val="00D0182F"/>
    <w:rsid w:val="00D06115"/>
    <w:rsid w:val="00D11BE1"/>
    <w:rsid w:val="00D207C1"/>
    <w:rsid w:val="00D2477E"/>
    <w:rsid w:val="00D42EAF"/>
    <w:rsid w:val="00D43AC3"/>
    <w:rsid w:val="00D46058"/>
    <w:rsid w:val="00D46071"/>
    <w:rsid w:val="00D467DB"/>
    <w:rsid w:val="00D63939"/>
    <w:rsid w:val="00D676D5"/>
    <w:rsid w:val="00D72C23"/>
    <w:rsid w:val="00D76805"/>
    <w:rsid w:val="00D76DCA"/>
    <w:rsid w:val="00DA3533"/>
    <w:rsid w:val="00DA3B25"/>
    <w:rsid w:val="00DB19B4"/>
    <w:rsid w:val="00DB538A"/>
    <w:rsid w:val="00DC19AB"/>
    <w:rsid w:val="00DC6D86"/>
    <w:rsid w:val="00DD4DBC"/>
    <w:rsid w:val="00DD5946"/>
    <w:rsid w:val="00DE090C"/>
    <w:rsid w:val="00DE0AE4"/>
    <w:rsid w:val="00DE2559"/>
    <w:rsid w:val="00DE5166"/>
    <w:rsid w:val="00DE5D67"/>
    <w:rsid w:val="00DF42BF"/>
    <w:rsid w:val="00DF4DE3"/>
    <w:rsid w:val="00E05292"/>
    <w:rsid w:val="00E07B0A"/>
    <w:rsid w:val="00E11B95"/>
    <w:rsid w:val="00E12D7F"/>
    <w:rsid w:val="00E22277"/>
    <w:rsid w:val="00E245F8"/>
    <w:rsid w:val="00E26660"/>
    <w:rsid w:val="00E277C0"/>
    <w:rsid w:val="00E40996"/>
    <w:rsid w:val="00E574FE"/>
    <w:rsid w:val="00E62CDC"/>
    <w:rsid w:val="00E7390A"/>
    <w:rsid w:val="00EA0E0B"/>
    <w:rsid w:val="00EB275D"/>
    <w:rsid w:val="00EB688E"/>
    <w:rsid w:val="00EC6B10"/>
    <w:rsid w:val="00EC6DE6"/>
    <w:rsid w:val="00EC77CB"/>
    <w:rsid w:val="00EE3090"/>
    <w:rsid w:val="00EF0594"/>
    <w:rsid w:val="00EF551D"/>
    <w:rsid w:val="00F048D4"/>
    <w:rsid w:val="00F101BC"/>
    <w:rsid w:val="00F14A8F"/>
    <w:rsid w:val="00F16402"/>
    <w:rsid w:val="00F21E28"/>
    <w:rsid w:val="00F27A77"/>
    <w:rsid w:val="00F3246D"/>
    <w:rsid w:val="00F3283E"/>
    <w:rsid w:val="00F36039"/>
    <w:rsid w:val="00F431E9"/>
    <w:rsid w:val="00F43C85"/>
    <w:rsid w:val="00F51A50"/>
    <w:rsid w:val="00F7292A"/>
    <w:rsid w:val="00F73258"/>
    <w:rsid w:val="00F763A6"/>
    <w:rsid w:val="00F7749D"/>
    <w:rsid w:val="00F910AC"/>
    <w:rsid w:val="00F94F22"/>
    <w:rsid w:val="00F959C4"/>
    <w:rsid w:val="00F961CF"/>
    <w:rsid w:val="00FB0534"/>
    <w:rsid w:val="00FB71C1"/>
    <w:rsid w:val="00FB74F8"/>
    <w:rsid w:val="00FC518D"/>
    <w:rsid w:val="00FC53DE"/>
    <w:rsid w:val="00FC6150"/>
    <w:rsid w:val="00FD3330"/>
    <w:rsid w:val="00FE0925"/>
    <w:rsid w:val="00FF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 w:type="paragraph" w:styleId="BodyText3">
    <w:name w:val="Body Text 3"/>
    <w:basedOn w:val="Normal"/>
    <w:link w:val="BodyText3Char"/>
    <w:rsid w:val="00E62CDC"/>
    <w:pPr>
      <w:spacing w:after="120"/>
    </w:pPr>
    <w:rPr>
      <w:sz w:val="16"/>
      <w:szCs w:val="16"/>
    </w:rPr>
  </w:style>
  <w:style w:type="character" w:customStyle="1" w:styleId="BodyText3Char">
    <w:name w:val="Body Text 3 Char"/>
    <w:basedOn w:val="DefaultParagraphFont"/>
    <w:link w:val="BodyText3"/>
    <w:uiPriority w:val="2"/>
    <w:rsid w:val="00E62CDC"/>
    <w:rPr>
      <w:sz w:val="16"/>
      <w:szCs w:val="16"/>
    </w:rPr>
  </w:style>
  <w:style w:type="paragraph" w:styleId="ListParagraph">
    <w:name w:val="List Paragraph"/>
    <w:basedOn w:val="Normal"/>
    <w:uiPriority w:val="34"/>
    <w:qFormat/>
    <w:rsid w:val="0075178C"/>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1815</Words>
  <Characters>10552</Characters>
  <Application>Microsoft Office Word</Application>
  <DocSecurity>0</DocSecurity>
  <PresentationFormat/>
  <Lines>324</Lines>
  <Paragraphs>65</Paragraphs>
  <ScaleCrop>false</ScaleCrop>
  <HeadingPairs>
    <vt:vector size="2" baseType="variant">
      <vt:variant>
        <vt:lpstr>Title</vt:lpstr>
      </vt:variant>
      <vt:variant>
        <vt:i4>1</vt:i4>
      </vt:variant>
    </vt:vector>
  </HeadingPairs>
  <TitlesOfParts>
    <vt:vector size="1" baseType="lpstr">
      <vt:lpstr>2023-2-24 Minutes - Special (00921405-2).DOCX</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2023-2-24 Minutes - Special (00921405-3).DOCX</dc:title>
  <dc:subject>00921405.DOCX / 3 /font=8</dc:subject>
  <cp:lastModifiedBy>Matt Ruhland</cp:lastModifiedBy>
  <cp:revision>40</cp:revision>
  <cp:lastPrinted>2019-01-28T16:17:00Z</cp:lastPrinted>
  <dcterms:created xsi:type="dcterms:W3CDTF">2023-03-07T23:39:00Z</dcterms:created>
  <dcterms:modified xsi:type="dcterms:W3CDTF">2023-03-10T16:13:00Z</dcterms:modified>
</cp:coreProperties>
</file>