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88885" w14:textId="2C49D276" w:rsidR="00375259" w:rsidRPr="00143CC1" w:rsidRDefault="00A71871">
      <w:pPr>
        <w:pStyle w:val="BodyTextIndent"/>
        <w:rPr>
          <w:szCs w:val="24"/>
        </w:rPr>
      </w:pPr>
      <w:r w:rsidRPr="00143CC1">
        <w:rPr>
          <w:szCs w:val="24"/>
        </w:rPr>
        <w:tab/>
        <w:t xml:space="preserve">MINUTES OF THE </w:t>
      </w:r>
      <w:r w:rsidR="00143506" w:rsidRPr="00143CC1">
        <w:rPr>
          <w:szCs w:val="24"/>
        </w:rPr>
        <w:t>SPECIAL</w:t>
      </w:r>
      <w:r w:rsidRPr="00143CC1">
        <w:rPr>
          <w:szCs w:val="24"/>
        </w:rPr>
        <w:t xml:space="preserve"> MEETING OF THE BOARD OF DIRECTORS</w:t>
      </w:r>
    </w:p>
    <w:p w14:paraId="5BAA437C" w14:textId="77777777" w:rsidR="00375259" w:rsidRPr="00143CC1" w:rsidRDefault="00375259">
      <w:pPr>
        <w:tabs>
          <w:tab w:val="left" w:pos="3168"/>
          <w:tab w:val="left" w:pos="4176"/>
        </w:tabs>
        <w:suppressAutoHyphens/>
        <w:jc w:val="both"/>
        <w:rPr>
          <w:spacing w:val="-3"/>
          <w:szCs w:val="24"/>
        </w:rPr>
      </w:pPr>
    </w:p>
    <w:p w14:paraId="2DEBDED7" w14:textId="77777777" w:rsidR="00375259" w:rsidRPr="00143CC1" w:rsidRDefault="00A71871">
      <w:pPr>
        <w:tabs>
          <w:tab w:val="left" w:pos="3168"/>
          <w:tab w:val="left" w:pos="4176"/>
        </w:tabs>
        <w:suppressAutoHyphens/>
        <w:jc w:val="both"/>
        <w:rPr>
          <w:spacing w:val="-3"/>
          <w:szCs w:val="24"/>
        </w:rPr>
      </w:pPr>
      <w:r w:rsidRPr="00143CC1">
        <w:rPr>
          <w:spacing w:val="-3"/>
          <w:szCs w:val="24"/>
        </w:rPr>
        <w:tab/>
        <w:t>OF THE</w:t>
      </w:r>
    </w:p>
    <w:p w14:paraId="4CD09C12" w14:textId="77777777" w:rsidR="00375259" w:rsidRPr="00143CC1" w:rsidRDefault="00375259">
      <w:pPr>
        <w:tabs>
          <w:tab w:val="left" w:pos="3168"/>
          <w:tab w:val="left" w:pos="4176"/>
        </w:tabs>
        <w:suppressAutoHyphens/>
        <w:jc w:val="both"/>
        <w:rPr>
          <w:spacing w:val="-3"/>
          <w:szCs w:val="24"/>
        </w:rPr>
      </w:pPr>
    </w:p>
    <w:p w14:paraId="3D9D9D0E" w14:textId="65B3681B" w:rsidR="000564FA" w:rsidRPr="00143CC1" w:rsidRDefault="00A71871" w:rsidP="00F959C4">
      <w:pPr>
        <w:tabs>
          <w:tab w:val="left" w:pos="3168"/>
          <w:tab w:val="left" w:pos="4176"/>
        </w:tabs>
        <w:suppressAutoHyphens/>
        <w:ind w:left="3168" w:hanging="3168"/>
        <w:jc w:val="both"/>
        <w:rPr>
          <w:spacing w:val="-3"/>
          <w:szCs w:val="24"/>
        </w:rPr>
      </w:pPr>
      <w:r w:rsidRPr="00143CC1">
        <w:rPr>
          <w:spacing w:val="-3"/>
          <w:szCs w:val="24"/>
        </w:rPr>
        <w:tab/>
      </w:r>
      <w:r w:rsidR="00143CC1" w:rsidRPr="00143CC1">
        <w:rPr>
          <w:spacing w:val="-3"/>
          <w:szCs w:val="24"/>
        </w:rPr>
        <w:t>WINDLER</w:t>
      </w:r>
      <w:r w:rsidR="00312817" w:rsidRPr="00143CC1">
        <w:rPr>
          <w:spacing w:val="-3"/>
          <w:szCs w:val="24"/>
        </w:rPr>
        <w:t xml:space="preserve"> PUBLIC IMPROVEMENT AUTHORITY</w:t>
      </w:r>
    </w:p>
    <w:p w14:paraId="76BEC48D" w14:textId="77777777" w:rsidR="00375259" w:rsidRPr="00143CC1" w:rsidRDefault="00375259">
      <w:pPr>
        <w:tabs>
          <w:tab w:val="left" w:pos="3168"/>
          <w:tab w:val="left" w:pos="4176"/>
        </w:tabs>
        <w:suppressAutoHyphens/>
        <w:jc w:val="both"/>
        <w:rPr>
          <w:spacing w:val="-3"/>
          <w:szCs w:val="24"/>
        </w:rPr>
      </w:pPr>
    </w:p>
    <w:p w14:paraId="0F8757FA" w14:textId="3B71A8A6" w:rsidR="00375259" w:rsidRPr="00143CC1" w:rsidRDefault="00EC77CB" w:rsidP="00EC77CB">
      <w:pPr>
        <w:tabs>
          <w:tab w:val="left" w:pos="3168"/>
          <w:tab w:val="left" w:pos="4176"/>
        </w:tabs>
        <w:suppressAutoHyphens/>
        <w:ind w:left="4176" w:hanging="4176"/>
        <w:rPr>
          <w:spacing w:val="-3"/>
          <w:szCs w:val="24"/>
        </w:rPr>
      </w:pPr>
      <w:r w:rsidRPr="00143CC1">
        <w:rPr>
          <w:spacing w:val="-3"/>
          <w:szCs w:val="24"/>
        </w:rPr>
        <w:tab/>
        <w:t>Held:</w:t>
      </w:r>
      <w:r w:rsidRPr="00143CC1">
        <w:rPr>
          <w:spacing w:val="-3"/>
          <w:szCs w:val="24"/>
        </w:rPr>
        <w:tab/>
        <w:t>Thursday, May 20, 2021</w:t>
      </w:r>
      <w:r w:rsidR="00143506" w:rsidRPr="00143CC1">
        <w:rPr>
          <w:spacing w:val="-3"/>
          <w:szCs w:val="24"/>
        </w:rPr>
        <w:t>,</w:t>
      </w:r>
      <w:r w:rsidR="00A71871" w:rsidRPr="00143CC1">
        <w:rPr>
          <w:spacing w:val="-3"/>
          <w:szCs w:val="24"/>
        </w:rPr>
        <w:t xml:space="preserve"> at </w:t>
      </w:r>
      <w:r w:rsidR="000564FA" w:rsidRPr="00143CC1">
        <w:rPr>
          <w:spacing w:val="-3"/>
          <w:szCs w:val="24"/>
        </w:rPr>
        <w:t>1</w:t>
      </w:r>
      <w:r w:rsidRPr="00143CC1">
        <w:rPr>
          <w:spacing w:val="-3"/>
          <w:szCs w:val="24"/>
        </w:rPr>
        <w:t>1</w:t>
      </w:r>
      <w:r w:rsidR="008509D3" w:rsidRPr="00143CC1">
        <w:rPr>
          <w:spacing w:val="-3"/>
          <w:szCs w:val="24"/>
        </w:rPr>
        <w:t>:</w:t>
      </w:r>
      <w:r w:rsidRPr="00143CC1">
        <w:rPr>
          <w:spacing w:val="-3"/>
          <w:szCs w:val="24"/>
        </w:rPr>
        <w:t>45 a</w:t>
      </w:r>
      <w:r w:rsidR="00A71871" w:rsidRPr="00143CC1">
        <w:rPr>
          <w:spacing w:val="-3"/>
          <w:szCs w:val="24"/>
        </w:rPr>
        <w:t>.m</w:t>
      </w:r>
      <w:r w:rsidRPr="00143CC1">
        <w:rPr>
          <w:spacing w:val="-3"/>
          <w:szCs w:val="24"/>
        </w:rPr>
        <w:t>. via teleconference</w:t>
      </w:r>
    </w:p>
    <w:p w14:paraId="1AA88819" w14:textId="77777777" w:rsidR="00EC77CB" w:rsidRPr="00143CC1" w:rsidRDefault="00EC77CB">
      <w:pPr>
        <w:tabs>
          <w:tab w:val="left" w:pos="3168"/>
          <w:tab w:val="left" w:pos="4176"/>
        </w:tabs>
        <w:suppressAutoHyphens/>
        <w:ind w:left="4176" w:hanging="4176"/>
        <w:jc w:val="both"/>
        <w:rPr>
          <w:spacing w:val="-3"/>
          <w:szCs w:val="24"/>
        </w:rPr>
      </w:pPr>
      <w:r w:rsidRPr="00143CC1">
        <w:rPr>
          <w:spacing w:val="-3"/>
          <w:szCs w:val="24"/>
        </w:rPr>
        <w:tab/>
      </w:r>
      <w:r w:rsidRPr="00143CC1">
        <w:rPr>
          <w:spacing w:val="-3"/>
          <w:szCs w:val="24"/>
        </w:rPr>
        <w:tab/>
      </w:r>
    </w:p>
    <w:p w14:paraId="201AAED7" w14:textId="35B69B1F" w:rsidR="00EC77CB" w:rsidRPr="00143CC1" w:rsidRDefault="00EC77CB">
      <w:pPr>
        <w:tabs>
          <w:tab w:val="left" w:pos="3168"/>
          <w:tab w:val="left" w:pos="4176"/>
        </w:tabs>
        <w:suppressAutoHyphens/>
        <w:ind w:left="4176" w:hanging="4176"/>
        <w:jc w:val="both"/>
        <w:rPr>
          <w:spacing w:val="-3"/>
          <w:szCs w:val="24"/>
        </w:rPr>
      </w:pPr>
      <w:r w:rsidRPr="00143CC1">
        <w:rPr>
          <w:spacing w:val="-3"/>
          <w:szCs w:val="24"/>
        </w:rPr>
        <w:tab/>
      </w:r>
      <w:r w:rsidRPr="00143CC1">
        <w:rPr>
          <w:spacing w:val="-3"/>
          <w:szCs w:val="24"/>
        </w:rPr>
        <w:tab/>
        <w:t>Due to the Executive Order issued by Governor Polis on March 25, 2020, requiring all residents of the State of Colorado to stay-at-home to minimize the spread and impact of COVID-19, and the Updated Public Health Order 20-24 implementing the Executive Order, issued by the Colorado Department of Health and Environment on March 26, 2020, the meeting was held via teleconference.</w:t>
      </w:r>
    </w:p>
    <w:p w14:paraId="5646C3F2" w14:textId="77777777" w:rsidR="00375259" w:rsidRPr="00143CC1" w:rsidRDefault="00A71871">
      <w:pPr>
        <w:keepLines/>
        <w:tabs>
          <w:tab w:val="left" w:pos="5640"/>
        </w:tabs>
        <w:jc w:val="both"/>
        <w:rPr>
          <w:szCs w:val="24"/>
        </w:rPr>
      </w:pPr>
      <w:r w:rsidRPr="00143CC1">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522CA9" w:rsidRPr="00143CC1" w14:paraId="3A012EFB" w14:textId="77777777" w:rsidTr="00F21E28">
        <w:tc>
          <w:tcPr>
            <w:tcW w:w="2868" w:type="dxa"/>
          </w:tcPr>
          <w:p w14:paraId="73D8089B" w14:textId="77777777" w:rsidR="00375259" w:rsidRPr="00143CC1" w:rsidRDefault="00A71871">
            <w:pPr>
              <w:widowControl w:val="0"/>
              <w:jc w:val="both"/>
              <w:rPr>
                <w:szCs w:val="24"/>
              </w:rPr>
            </w:pPr>
            <w:r w:rsidRPr="00143CC1">
              <w:rPr>
                <w:szCs w:val="24"/>
              </w:rPr>
              <w:t>Attendance</w:t>
            </w:r>
          </w:p>
        </w:tc>
        <w:tc>
          <w:tcPr>
            <w:tcW w:w="6708" w:type="dxa"/>
          </w:tcPr>
          <w:p w14:paraId="41CF1F84" w14:textId="5CEAB16D" w:rsidR="00375259" w:rsidRPr="00143CC1"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143CC1">
              <w:rPr>
                <w:spacing w:val="-3"/>
                <w:szCs w:val="24"/>
              </w:rPr>
              <w:t xml:space="preserve">The </w:t>
            </w:r>
            <w:r w:rsidR="00143506" w:rsidRPr="00143CC1">
              <w:rPr>
                <w:spacing w:val="-3"/>
                <w:szCs w:val="24"/>
              </w:rPr>
              <w:t>special</w:t>
            </w:r>
            <w:r w:rsidRPr="00143CC1">
              <w:rPr>
                <w:spacing w:val="-3"/>
                <w:szCs w:val="24"/>
              </w:rPr>
              <w:t xml:space="preserve"> meeting of the Board of Directors (the “Board”) of the </w:t>
            </w:r>
            <w:r w:rsidR="00143CC1" w:rsidRPr="00143CC1">
              <w:rPr>
                <w:spacing w:val="-3"/>
                <w:szCs w:val="24"/>
              </w:rPr>
              <w:t>Windler</w:t>
            </w:r>
            <w:r w:rsidR="00312817" w:rsidRPr="00143CC1">
              <w:rPr>
                <w:spacing w:val="-3"/>
                <w:szCs w:val="24"/>
              </w:rPr>
              <w:t xml:space="preserve"> Public Improvement Authority</w:t>
            </w:r>
            <w:r w:rsidR="000564FA" w:rsidRPr="00143CC1">
              <w:rPr>
                <w:spacing w:val="-3"/>
                <w:szCs w:val="24"/>
              </w:rPr>
              <w:t xml:space="preserve"> </w:t>
            </w:r>
            <w:r w:rsidRPr="00143CC1">
              <w:rPr>
                <w:spacing w:val="-3"/>
                <w:szCs w:val="24"/>
              </w:rPr>
              <w:t>(the “</w:t>
            </w:r>
            <w:r w:rsidR="00652DA2" w:rsidRPr="00143CC1">
              <w:rPr>
                <w:spacing w:val="-3"/>
                <w:szCs w:val="24"/>
              </w:rPr>
              <w:t>Authority</w:t>
            </w:r>
            <w:r w:rsidRPr="00143CC1">
              <w:rPr>
                <w:spacing w:val="-3"/>
                <w:szCs w:val="24"/>
              </w:rPr>
              <w:t>”) was called and held as shown in accordance with the Colorado law.  The following directors confirmed their qualification to serve on the Board:</w:t>
            </w:r>
          </w:p>
          <w:p w14:paraId="41F8D283" w14:textId="77777777" w:rsidR="00375259" w:rsidRPr="00143CC1" w:rsidRDefault="00375259">
            <w:pPr>
              <w:tabs>
                <w:tab w:val="left" w:pos="3168"/>
                <w:tab w:val="left" w:pos="4176"/>
              </w:tabs>
              <w:suppressAutoHyphens/>
              <w:ind w:left="4176" w:hanging="4176"/>
              <w:jc w:val="both"/>
              <w:rPr>
                <w:spacing w:val="-3"/>
                <w:szCs w:val="24"/>
              </w:rPr>
            </w:pPr>
          </w:p>
          <w:p w14:paraId="01B0B0FA" w14:textId="22E00609" w:rsidR="00375259" w:rsidRPr="00143CC1" w:rsidRDefault="00652DA2">
            <w:pPr>
              <w:tabs>
                <w:tab w:val="left" w:pos="792"/>
                <w:tab w:val="left" w:pos="3168"/>
                <w:tab w:val="left" w:pos="4176"/>
              </w:tabs>
              <w:suppressAutoHyphens/>
              <w:ind w:left="4176" w:hanging="3384"/>
              <w:jc w:val="both"/>
              <w:rPr>
                <w:spacing w:val="-3"/>
                <w:szCs w:val="24"/>
              </w:rPr>
            </w:pPr>
            <w:r w:rsidRPr="00143CC1">
              <w:rPr>
                <w:spacing w:val="-3"/>
                <w:szCs w:val="24"/>
              </w:rPr>
              <w:t>Chris Fellows</w:t>
            </w:r>
          </w:p>
          <w:p w14:paraId="1486A493" w14:textId="3CA0038D" w:rsidR="00652DA2" w:rsidRPr="00143CC1" w:rsidRDefault="00652DA2">
            <w:pPr>
              <w:tabs>
                <w:tab w:val="left" w:pos="792"/>
                <w:tab w:val="left" w:pos="3168"/>
                <w:tab w:val="left" w:pos="4176"/>
              </w:tabs>
              <w:suppressAutoHyphens/>
              <w:ind w:left="4176" w:hanging="3384"/>
              <w:jc w:val="both"/>
              <w:rPr>
                <w:spacing w:val="-3"/>
                <w:szCs w:val="24"/>
              </w:rPr>
            </w:pPr>
            <w:r w:rsidRPr="00143CC1">
              <w:rPr>
                <w:spacing w:val="-3"/>
                <w:szCs w:val="24"/>
              </w:rPr>
              <w:t>Tim O’Connor</w:t>
            </w:r>
          </w:p>
          <w:p w14:paraId="47ABF006" w14:textId="7A720582" w:rsidR="00CB0716" w:rsidRPr="00143CC1" w:rsidRDefault="00143CC1" w:rsidP="00652DA2">
            <w:pPr>
              <w:tabs>
                <w:tab w:val="left" w:pos="792"/>
                <w:tab w:val="left" w:pos="3168"/>
                <w:tab w:val="left" w:pos="4176"/>
              </w:tabs>
              <w:suppressAutoHyphens/>
              <w:ind w:left="4176" w:hanging="3384"/>
              <w:jc w:val="both"/>
              <w:rPr>
                <w:spacing w:val="-3"/>
                <w:szCs w:val="24"/>
              </w:rPr>
            </w:pPr>
            <w:r w:rsidRPr="00143CC1">
              <w:rPr>
                <w:spacing w:val="-3"/>
                <w:szCs w:val="24"/>
              </w:rPr>
              <w:t>Tom Kaufman</w:t>
            </w:r>
          </w:p>
          <w:p w14:paraId="56279678" w14:textId="77777777" w:rsidR="00375259" w:rsidRPr="00143CC1" w:rsidRDefault="00375259">
            <w:pPr>
              <w:tabs>
                <w:tab w:val="left" w:pos="0"/>
                <w:tab w:val="left" w:pos="792"/>
                <w:tab w:val="left" w:pos="3168"/>
              </w:tabs>
              <w:suppressAutoHyphens/>
              <w:jc w:val="both"/>
              <w:rPr>
                <w:spacing w:val="-3"/>
                <w:szCs w:val="24"/>
              </w:rPr>
            </w:pPr>
          </w:p>
          <w:p w14:paraId="47C46BEF" w14:textId="61A21DE1" w:rsidR="00375259" w:rsidRPr="00143CC1" w:rsidRDefault="00A71871">
            <w:pPr>
              <w:tabs>
                <w:tab w:val="left" w:pos="792"/>
                <w:tab w:val="left" w:pos="3168"/>
                <w:tab w:val="left" w:pos="4176"/>
              </w:tabs>
              <w:suppressAutoHyphens/>
              <w:jc w:val="both"/>
              <w:rPr>
                <w:szCs w:val="24"/>
              </w:rPr>
            </w:pPr>
            <w:r w:rsidRPr="00143CC1">
              <w:rPr>
                <w:szCs w:val="24"/>
              </w:rPr>
              <w:t>Al</w:t>
            </w:r>
            <w:r w:rsidR="00143506" w:rsidRPr="00143CC1">
              <w:rPr>
                <w:szCs w:val="24"/>
              </w:rPr>
              <w:t>so present w</w:t>
            </w:r>
            <w:r w:rsidR="00767246" w:rsidRPr="00143CC1">
              <w:rPr>
                <w:szCs w:val="24"/>
              </w:rPr>
              <w:t xml:space="preserve">ere </w:t>
            </w:r>
            <w:r w:rsidR="00143506" w:rsidRPr="00143CC1">
              <w:rPr>
                <w:szCs w:val="24"/>
              </w:rPr>
              <w:t xml:space="preserve">Matt Ruhland of Collins Cockrel &amp; Cole, </w:t>
            </w:r>
            <w:r w:rsidR="00652DA2" w:rsidRPr="00143CC1">
              <w:rPr>
                <w:szCs w:val="24"/>
              </w:rPr>
              <w:t>P.C; Diane Wheeler of Simmons &amp; Wheeler, P.C.; Megan J. Murphy of White Bea</w:t>
            </w:r>
            <w:r w:rsidR="00143CC1" w:rsidRPr="00143CC1">
              <w:rPr>
                <w:szCs w:val="24"/>
              </w:rPr>
              <w:t>r Ankele Waldron and Tanaka;</w:t>
            </w:r>
            <w:r w:rsidR="00652DA2" w:rsidRPr="00143CC1">
              <w:rPr>
                <w:szCs w:val="24"/>
              </w:rPr>
              <w:t xml:space="preserve"> Barney Fix</w:t>
            </w:r>
            <w:r w:rsidR="00143CC1" w:rsidRPr="00143CC1">
              <w:rPr>
                <w:szCs w:val="24"/>
              </w:rPr>
              <w:t xml:space="preserve"> of Merrick &amp; Company; and Katie McVey of Piper Sandler.</w:t>
            </w:r>
          </w:p>
          <w:p w14:paraId="6F237318" w14:textId="3E034BEA" w:rsidR="00CB0716" w:rsidRPr="00143CC1" w:rsidRDefault="00CB0716">
            <w:pPr>
              <w:tabs>
                <w:tab w:val="left" w:pos="792"/>
                <w:tab w:val="left" w:pos="3168"/>
                <w:tab w:val="left" w:pos="4176"/>
              </w:tabs>
              <w:suppressAutoHyphens/>
              <w:jc w:val="both"/>
              <w:rPr>
                <w:spacing w:val="-3"/>
                <w:szCs w:val="24"/>
              </w:rPr>
            </w:pPr>
          </w:p>
          <w:p w14:paraId="4D290712" w14:textId="3E7B8468" w:rsidR="008509D3" w:rsidRPr="00143CC1" w:rsidRDefault="008509D3" w:rsidP="00652DA2">
            <w:pPr>
              <w:tabs>
                <w:tab w:val="left" w:pos="792"/>
                <w:tab w:val="left" w:pos="3168"/>
                <w:tab w:val="left" w:pos="4176"/>
              </w:tabs>
              <w:suppressAutoHyphens/>
              <w:jc w:val="both"/>
              <w:rPr>
                <w:szCs w:val="24"/>
              </w:rPr>
            </w:pPr>
          </w:p>
        </w:tc>
      </w:tr>
      <w:tr w:rsidR="00522CA9" w:rsidRPr="00143CC1" w14:paraId="48296D1F" w14:textId="77777777" w:rsidTr="00F21E28">
        <w:tc>
          <w:tcPr>
            <w:tcW w:w="2868" w:type="dxa"/>
          </w:tcPr>
          <w:p w14:paraId="5A742D2C" w14:textId="77777777" w:rsidR="00375259" w:rsidRPr="00143CC1" w:rsidRDefault="00A71871">
            <w:pPr>
              <w:widowControl w:val="0"/>
              <w:jc w:val="both"/>
              <w:rPr>
                <w:szCs w:val="24"/>
              </w:rPr>
            </w:pPr>
            <w:r w:rsidRPr="00143CC1">
              <w:rPr>
                <w:szCs w:val="24"/>
              </w:rPr>
              <w:t>Call to Order</w:t>
            </w:r>
          </w:p>
        </w:tc>
        <w:tc>
          <w:tcPr>
            <w:tcW w:w="6708" w:type="dxa"/>
          </w:tcPr>
          <w:p w14:paraId="35F5D098" w14:textId="5BD8F477" w:rsidR="00375259" w:rsidRPr="00143CC1" w:rsidRDefault="00A71871">
            <w:pPr>
              <w:keepLines/>
              <w:jc w:val="both"/>
              <w:rPr>
                <w:spacing w:val="-3"/>
                <w:szCs w:val="24"/>
              </w:rPr>
            </w:pPr>
            <w:r w:rsidRPr="00143CC1">
              <w:rPr>
                <w:spacing w:val="-3"/>
                <w:szCs w:val="24"/>
              </w:rPr>
              <w:t xml:space="preserve">Director </w:t>
            </w:r>
            <w:r w:rsidR="00652DA2" w:rsidRPr="00143CC1">
              <w:rPr>
                <w:spacing w:val="-3"/>
                <w:szCs w:val="24"/>
              </w:rPr>
              <w:t>Fellows</w:t>
            </w:r>
            <w:r w:rsidRPr="00143CC1">
              <w:rPr>
                <w:spacing w:val="-3"/>
                <w:szCs w:val="24"/>
              </w:rPr>
              <w:t xml:space="preserve"> noted that a quorum of the Board was present and the directors confirmed their qualifications to serve.</w:t>
            </w:r>
          </w:p>
          <w:p w14:paraId="3250285E" w14:textId="77777777" w:rsidR="00375259" w:rsidRPr="00143CC1" w:rsidRDefault="00375259">
            <w:pPr>
              <w:keepLines/>
              <w:jc w:val="both"/>
              <w:rPr>
                <w:szCs w:val="24"/>
              </w:rPr>
            </w:pPr>
          </w:p>
        </w:tc>
      </w:tr>
      <w:tr w:rsidR="00522CA9" w:rsidRPr="00143CC1" w14:paraId="2E7C12BF" w14:textId="77777777" w:rsidTr="00F21E28">
        <w:tc>
          <w:tcPr>
            <w:tcW w:w="2868" w:type="dxa"/>
          </w:tcPr>
          <w:p w14:paraId="784C2955" w14:textId="77777777" w:rsidR="00375259" w:rsidRPr="00143CC1" w:rsidRDefault="00A71871">
            <w:pPr>
              <w:widowControl w:val="0"/>
              <w:jc w:val="both"/>
              <w:rPr>
                <w:szCs w:val="24"/>
              </w:rPr>
            </w:pPr>
            <w:r w:rsidRPr="00143CC1">
              <w:rPr>
                <w:szCs w:val="24"/>
              </w:rPr>
              <w:lastRenderedPageBreak/>
              <w:t>Disclosure Matters</w:t>
            </w:r>
          </w:p>
        </w:tc>
        <w:tc>
          <w:tcPr>
            <w:tcW w:w="6708" w:type="dxa"/>
          </w:tcPr>
          <w:p w14:paraId="5D88E7BE" w14:textId="466192D9" w:rsidR="000564FA" w:rsidRPr="00143CC1" w:rsidRDefault="00A71871">
            <w:pPr>
              <w:pStyle w:val="BodyText"/>
              <w:rPr>
                <w:szCs w:val="24"/>
              </w:rPr>
            </w:pPr>
            <w:r w:rsidRPr="00143CC1">
              <w:rPr>
                <w:szCs w:val="24"/>
              </w:rPr>
              <w:t xml:space="preserve">Mr. Ruhland advised the Board that, pursuant to Colorado law, certain disclosures may be required prior to taking official action at the meeting.  </w:t>
            </w:r>
            <w:r w:rsidR="00F431E9" w:rsidRPr="00143CC1">
              <w:rPr>
                <w:szCs w:val="24"/>
              </w:rPr>
              <w:t xml:space="preserve">Mr. Ruhland reported that written disclosures for those directors with potential or existing conflicts of interest were filed with the Secretary of State prior to the meeting.  </w:t>
            </w:r>
            <w:r w:rsidRPr="00143CC1">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143CC1" w:rsidRDefault="00375259">
            <w:pPr>
              <w:pStyle w:val="BodyText"/>
              <w:rPr>
                <w:szCs w:val="24"/>
              </w:rPr>
            </w:pPr>
          </w:p>
        </w:tc>
      </w:tr>
      <w:tr w:rsidR="00522CA9" w:rsidRPr="00143CC1" w14:paraId="2D19DB0C" w14:textId="77777777" w:rsidTr="00F21E28">
        <w:tc>
          <w:tcPr>
            <w:tcW w:w="2868" w:type="dxa"/>
          </w:tcPr>
          <w:p w14:paraId="68E7F0CB" w14:textId="77777777" w:rsidR="00375259" w:rsidRPr="00143CC1" w:rsidRDefault="00375259">
            <w:pPr>
              <w:widowControl w:val="0"/>
              <w:jc w:val="both"/>
              <w:rPr>
                <w:szCs w:val="24"/>
              </w:rPr>
            </w:pPr>
          </w:p>
        </w:tc>
        <w:tc>
          <w:tcPr>
            <w:tcW w:w="6708" w:type="dxa"/>
          </w:tcPr>
          <w:p w14:paraId="6692E9A2" w14:textId="426E439B" w:rsidR="00652DA2" w:rsidRPr="00143CC1" w:rsidRDefault="00652DA2" w:rsidP="00F431E9">
            <w:pPr>
              <w:pStyle w:val="BodyText"/>
              <w:rPr>
                <w:szCs w:val="24"/>
              </w:rPr>
            </w:pPr>
          </w:p>
        </w:tc>
      </w:tr>
      <w:tr w:rsidR="00522CA9" w:rsidRPr="00143CC1" w14:paraId="5898AF70" w14:textId="77777777" w:rsidTr="00F21E28">
        <w:tc>
          <w:tcPr>
            <w:tcW w:w="2868" w:type="dxa"/>
          </w:tcPr>
          <w:p w14:paraId="53F5241D" w14:textId="5A1D1BA2" w:rsidR="00375259" w:rsidRPr="00143CC1" w:rsidRDefault="00652DA2" w:rsidP="00375259">
            <w:pPr>
              <w:widowControl w:val="0"/>
              <w:jc w:val="both"/>
              <w:rPr>
                <w:szCs w:val="24"/>
              </w:rPr>
            </w:pPr>
            <w:r w:rsidRPr="00143CC1">
              <w:rPr>
                <w:szCs w:val="24"/>
              </w:rPr>
              <w:t>Approval of Agenda</w:t>
            </w:r>
          </w:p>
        </w:tc>
        <w:tc>
          <w:tcPr>
            <w:tcW w:w="6708" w:type="dxa"/>
          </w:tcPr>
          <w:p w14:paraId="7E7754AF" w14:textId="31A760FC" w:rsidR="00375259" w:rsidRPr="00143CC1" w:rsidRDefault="00652DA2">
            <w:pPr>
              <w:pStyle w:val="BodyText"/>
              <w:rPr>
                <w:szCs w:val="24"/>
              </w:rPr>
            </w:pPr>
            <w:r w:rsidRPr="00143CC1">
              <w:rPr>
                <w:szCs w:val="24"/>
              </w:rPr>
              <w:t xml:space="preserve">Following discussion and upon motion duly made, seconded and unanimously carried, the Board approved the agenda as </w:t>
            </w:r>
            <w:r w:rsidR="00143CC1" w:rsidRPr="00143CC1">
              <w:rPr>
                <w:szCs w:val="24"/>
              </w:rPr>
              <w:t>amended</w:t>
            </w:r>
            <w:r w:rsidRPr="00143CC1">
              <w:rPr>
                <w:szCs w:val="24"/>
              </w:rPr>
              <w:t xml:space="preserve">. </w:t>
            </w:r>
          </w:p>
          <w:p w14:paraId="42F8A9D9" w14:textId="77777777" w:rsidR="00375259" w:rsidRPr="00143CC1" w:rsidRDefault="00375259" w:rsidP="00375259">
            <w:pPr>
              <w:widowControl w:val="0"/>
              <w:jc w:val="both"/>
              <w:rPr>
                <w:snapToGrid w:val="0"/>
                <w:spacing w:val="-3"/>
                <w:szCs w:val="24"/>
              </w:rPr>
            </w:pPr>
          </w:p>
        </w:tc>
      </w:tr>
      <w:tr w:rsidR="00834728" w:rsidRPr="00143CC1" w14:paraId="0579716B" w14:textId="77777777" w:rsidTr="00F21E28">
        <w:tc>
          <w:tcPr>
            <w:tcW w:w="2868" w:type="dxa"/>
          </w:tcPr>
          <w:p w14:paraId="5B696F7A" w14:textId="049B321D" w:rsidR="00834728" w:rsidRPr="00143CC1" w:rsidRDefault="00652DA2" w:rsidP="00BC0F35">
            <w:pPr>
              <w:widowControl w:val="0"/>
              <w:rPr>
                <w:szCs w:val="24"/>
              </w:rPr>
            </w:pPr>
            <w:r w:rsidRPr="00143CC1">
              <w:rPr>
                <w:szCs w:val="24"/>
              </w:rPr>
              <w:t>Public Comment</w:t>
            </w:r>
          </w:p>
        </w:tc>
        <w:tc>
          <w:tcPr>
            <w:tcW w:w="6708" w:type="dxa"/>
          </w:tcPr>
          <w:p w14:paraId="3313F169" w14:textId="77777777" w:rsidR="00F959C4" w:rsidRPr="00143CC1" w:rsidRDefault="00652DA2">
            <w:pPr>
              <w:pStyle w:val="BodyText"/>
              <w:rPr>
                <w:szCs w:val="24"/>
              </w:rPr>
            </w:pPr>
            <w:r w:rsidRPr="00143CC1">
              <w:rPr>
                <w:szCs w:val="24"/>
              </w:rPr>
              <w:t>None.</w:t>
            </w:r>
          </w:p>
          <w:p w14:paraId="76E68B43" w14:textId="59D3F2BC" w:rsidR="00652DA2" w:rsidRPr="00143CC1" w:rsidRDefault="00652DA2">
            <w:pPr>
              <w:pStyle w:val="BodyText"/>
              <w:rPr>
                <w:szCs w:val="24"/>
              </w:rPr>
            </w:pPr>
          </w:p>
        </w:tc>
      </w:tr>
      <w:tr w:rsidR="00F959C4" w:rsidRPr="00143CC1" w14:paraId="15E0EA35" w14:textId="77777777" w:rsidTr="00F21E28">
        <w:tc>
          <w:tcPr>
            <w:tcW w:w="2868" w:type="dxa"/>
          </w:tcPr>
          <w:p w14:paraId="1E58530D" w14:textId="4C2CCA3D" w:rsidR="00F959C4" w:rsidRPr="00143CC1" w:rsidRDefault="00652DA2" w:rsidP="00F959C4">
            <w:pPr>
              <w:widowControl w:val="0"/>
              <w:rPr>
                <w:szCs w:val="24"/>
              </w:rPr>
            </w:pPr>
            <w:r w:rsidRPr="00143CC1">
              <w:rPr>
                <w:szCs w:val="24"/>
              </w:rPr>
              <w:t>Designation of Officers</w:t>
            </w:r>
            <w:r w:rsidR="00F959C4" w:rsidRPr="00143CC1">
              <w:rPr>
                <w:szCs w:val="24"/>
              </w:rPr>
              <w:t xml:space="preserve"> </w:t>
            </w:r>
          </w:p>
        </w:tc>
        <w:tc>
          <w:tcPr>
            <w:tcW w:w="6708" w:type="dxa"/>
          </w:tcPr>
          <w:p w14:paraId="02A21622" w14:textId="2CC522A2" w:rsidR="00F959C4" w:rsidRPr="00143CC1" w:rsidRDefault="00652DA2" w:rsidP="00652DA2">
            <w:pPr>
              <w:pStyle w:val="BodyText"/>
              <w:rPr>
                <w:szCs w:val="24"/>
              </w:rPr>
            </w:pPr>
            <w:r w:rsidRPr="00143CC1">
              <w:rPr>
                <w:szCs w:val="24"/>
              </w:rPr>
              <w:t>Following discussion and upon motion duly made, seconded and unanimously carried, the Board designated officers as follows:</w:t>
            </w:r>
          </w:p>
          <w:p w14:paraId="21CE7AFE" w14:textId="09512975" w:rsidR="00652DA2" w:rsidRPr="00143CC1" w:rsidRDefault="00652DA2" w:rsidP="00652DA2">
            <w:pPr>
              <w:pStyle w:val="BodyText"/>
              <w:rPr>
                <w:szCs w:val="24"/>
              </w:rPr>
            </w:pPr>
          </w:p>
          <w:p w14:paraId="09B0366A" w14:textId="4B20E4B1" w:rsidR="00652DA2" w:rsidRPr="00143CC1" w:rsidRDefault="00652DA2" w:rsidP="00652DA2">
            <w:pPr>
              <w:pStyle w:val="BodyText"/>
              <w:rPr>
                <w:szCs w:val="24"/>
              </w:rPr>
            </w:pPr>
            <w:r w:rsidRPr="00143CC1">
              <w:rPr>
                <w:szCs w:val="24"/>
              </w:rPr>
              <w:t>Chris Fellows – President</w:t>
            </w:r>
          </w:p>
          <w:p w14:paraId="057C5341" w14:textId="11506859" w:rsidR="00652DA2" w:rsidRPr="00143CC1" w:rsidRDefault="00652DA2" w:rsidP="00652DA2">
            <w:pPr>
              <w:pStyle w:val="BodyText"/>
              <w:rPr>
                <w:szCs w:val="24"/>
              </w:rPr>
            </w:pPr>
            <w:r w:rsidRPr="00143CC1">
              <w:rPr>
                <w:szCs w:val="24"/>
              </w:rPr>
              <w:t>Tim O’Connor – Secretary/Treasurer</w:t>
            </w:r>
          </w:p>
          <w:p w14:paraId="54BFCA77" w14:textId="7DE93DEB" w:rsidR="00652DA2" w:rsidRPr="00143CC1" w:rsidRDefault="00143CC1" w:rsidP="00652DA2">
            <w:pPr>
              <w:pStyle w:val="BodyText"/>
              <w:rPr>
                <w:szCs w:val="24"/>
              </w:rPr>
            </w:pPr>
            <w:r w:rsidRPr="00143CC1">
              <w:rPr>
                <w:szCs w:val="24"/>
              </w:rPr>
              <w:t>Tom Kaufman</w:t>
            </w:r>
            <w:r w:rsidR="00652DA2" w:rsidRPr="00143CC1">
              <w:rPr>
                <w:szCs w:val="24"/>
              </w:rPr>
              <w:t xml:space="preserve"> – Assistant Secretary</w:t>
            </w:r>
          </w:p>
          <w:p w14:paraId="3D76E94C" w14:textId="39AED159" w:rsidR="00652DA2" w:rsidRPr="00143CC1" w:rsidRDefault="00652DA2" w:rsidP="00143CC1">
            <w:pPr>
              <w:pStyle w:val="BodyText"/>
              <w:rPr>
                <w:szCs w:val="24"/>
              </w:rPr>
            </w:pPr>
          </w:p>
        </w:tc>
      </w:tr>
      <w:tr w:rsidR="00143CC1" w:rsidRPr="00143CC1" w14:paraId="43C2ADE3" w14:textId="77777777" w:rsidTr="00F21E28">
        <w:tc>
          <w:tcPr>
            <w:tcW w:w="2868" w:type="dxa"/>
          </w:tcPr>
          <w:p w14:paraId="71BD60BA" w14:textId="46B1C3A0" w:rsidR="00143CC1" w:rsidRPr="00143CC1" w:rsidRDefault="00143CC1" w:rsidP="00143CC1">
            <w:pPr>
              <w:widowControl w:val="0"/>
              <w:rPr>
                <w:szCs w:val="24"/>
              </w:rPr>
            </w:pPr>
            <w:r w:rsidRPr="00143CC1">
              <w:rPr>
                <w:szCs w:val="24"/>
              </w:rPr>
              <w:t>2021 Budget Hearing</w:t>
            </w:r>
          </w:p>
        </w:tc>
        <w:tc>
          <w:tcPr>
            <w:tcW w:w="6708" w:type="dxa"/>
          </w:tcPr>
          <w:p w14:paraId="6B4577A7" w14:textId="4EB68F41" w:rsidR="00143CC1" w:rsidRPr="00143CC1" w:rsidRDefault="00143CC1" w:rsidP="00143CC1">
            <w:pPr>
              <w:pStyle w:val="BodyText"/>
              <w:rPr>
                <w:szCs w:val="24"/>
              </w:rPr>
            </w:pPr>
            <w:r w:rsidRPr="00143CC1">
              <w:rPr>
                <w:szCs w:val="24"/>
              </w:rPr>
              <w:t>Chair Fellows then opened the public hearing on the 2021 Budget and presented the proposed 2021 Budget.  Thereupon, Chair Fellows closed the public hearing.</w:t>
            </w:r>
          </w:p>
          <w:p w14:paraId="630C2F49" w14:textId="77777777" w:rsidR="00143CC1" w:rsidRPr="00143CC1" w:rsidRDefault="00143CC1" w:rsidP="00143CC1">
            <w:pPr>
              <w:pStyle w:val="BodyText"/>
              <w:rPr>
                <w:szCs w:val="24"/>
              </w:rPr>
            </w:pPr>
          </w:p>
          <w:p w14:paraId="657EF9D4" w14:textId="1210E2E1" w:rsidR="00143CC1" w:rsidRPr="00143CC1" w:rsidRDefault="00143CC1" w:rsidP="00143CC1">
            <w:pPr>
              <w:pStyle w:val="BodyText"/>
              <w:rPr>
                <w:szCs w:val="24"/>
              </w:rPr>
            </w:pPr>
            <w:r w:rsidRPr="00143CC1">
              <w:rPr>
                <w:szCs w:val="24"/>
              </w:rPr>
              <w:t>Ms. Wheeler presented and reviewed the proposed 2021 Budget and responded to questions.  Upon motion duly made by President Fellows, seconded by Director Kaufman and unanimously carried, the Board approved the Resolution to Adopt Budget and Appropriate Sums of Money, thereby approving</w:t>
            </w:r>
            <w:r w:rsidR="0057751F">
              <w:rPr>
                <w:szCs w:val="24"/>
              </w:rPr>
              <w:t xml:space="preserve"> and certifying the 2021 Budget</w:t>
            </w:r>
            <w:r w:rsidRPr="00143CC1">
              <w:rPr>
                <w:szCs w:val="24"/>
              </w:rPr>
              <w:t>. Mr. Ruhland was directed to file the 2021 Budget with the Division of Local Government, in accordance with statute.</w:t>
            </w:r>
          </w:p>
          <w:p w14:paraId="0934A5A0" w14:textId="77777777" w:rsidR="00143CC1" w:rsidRPr="00143CC1" w:rsidRDefault="00143CC1" w:rsidP="00143CC1">
            <w:pPr>
              <w:pStyle w:val="BodyText"/>
              <w:rPr>
                <w:szCs w:val="24"/>
              </w:rPr>
            </w:pPr>
          </w:p>
        </w:tc>
      </w:tr>
      <w:tr w:rsidR="00143CC1" w:rsidRPr="00143CC1" w14:paraId="44576CA6" w14:textId="77777777" w:rsidTr="00F21E28">
        <w:tc>
          <w:tcPr>
            <w:tcW w:w="2868" w:type="dxa"/>
          </w:tcPr>
          <w:p w14:paraId="50175FC4" w14:textId="32F0FBDE" w:rsidR="00143CC1" w:rsidRPr="00143CC1" w:rsidRDefault="00143CC1" w:rsidP="00143CC1">
            <w:pPr>
              <w:widowControl w:val="0"/>
              <w:rPr>
                <w:szCs w:val="24"/>
              </w:rPr>
            </w:pPr>
            <w:r w:rsidRPr="00143CC1">
              <w:rPr>
                <w:szCs w:val="24"/>
              </w:rPr>
              <w:t>Open Records</w:t>
            </w:r>
          </w:p>
        </w:tc>
        <w:tc>
          <w:tcPr>
            <w:tcW w:w="6708" w:type="dxa"/>
          </w:tcPr>
          <w:p w14:paraId="61FB3C41" w14:textId="5816587B" w:rsidR="00143CC1" w:rsidRPr="00143CC1" w:rsidRDefault="00143CC1" w:rsidP="00143CC1">
            <w:pPr>
              <w:pStyle w:val="BodyTextIndent3"/>
              <w:keepNext/>
              <w:keepLines/>
              <w:widowControl/>
              <w:ind w:left="0" w:firstLine="0"/>
              <w:rPr>
                <w:rFonts w:ascii="Times New Roman" w:hAnsi="Times New Roman"/>
                <w:szCs w:val="24"/>
              </w:rPr>
            </w:pPr>
            <w:r w:rsidRPr="00143CC1">
              <w:rPr>
                <w:rFonts w:ascii="Times New Roman" w:hAnsi="Times New Roman"/>
                <w:szCs w:val="24"/>
              </w:rPr>
              <w:t>Mr. Ruhland presented and reviewed the Resolution Designating the Official Custodian of Records and Adopting a Policy on Responding to Open Records Requests.  Upon motion duly made by President Fellows, seconded by Director Kaufman and unanimously carried, the Board adopted the Resolution Designating the Official Custodian of Records and Adopting a Policy on Responding to Open Records Requests, designating Collins Cockrel &amp; Cole, P.C. as the official custodian of the Authority.</w:t>
            </w:r>
          </w:p>
          <w:p w14:paraId="2BC1C962" w14:textId="77777777" w:rsidR="00143CC1" w:rsidRPr="00143CC1" w:rsidRDefault="00143CC1" w:rsidP="00143CC1">
            <w:pPr>
              <w:pStyle w:val="BodyText"/>
              <w:rPr>
                <w:szCs w:val="24"/>
              </w:rPr>
            </w:pPr>
          </w:p>
        </w:tc>
      </w:tr>
      <w:tr w:rsidR="00143CC1" w:rsidRPr="00143CC1" w14:paraId="45A4D61D" w14:textId="77777777" w:rsidTr="00F21E28">
        <w:tc>
          <w:tcPr>
            <w:tcW w:w="2868" w:type="dxa"/>
          </w:tcPr>
          <w:p w14:paraId="0960FF4D" w14:textId="48D2868E" w:rsidR="00143CC1" w:rsidRPr="00143CC1" w:rsidRDefault="00143CC1" w:rsidP="00143CC1">
            <w:pPr>
              <w:widowControl w:val="0"/>
              <w:rPr>
                <w:szCs w:val="24"/>
              </w:rPr>
            </w:pPr>
            <w:r>
              <w:rPr>
                <w:szCs w:val="24"/>
              </w:rPr>
              <w:lastRenderedPageBreak/>
              <w:t>Records Management Manual</w:t>
            </w:r>
          </w:p>
        </w:tc>
        <w:tc>
          <w:tcPr>
            <w:tcW w:w="6708" w:type="dxa"/>
          </w:tcPr>
          <w:p w14:paraId="1C019BA9" w14:textId="5038DAC0" w:rsidR="00143CC1" w:rsidRDefault="00143CC1" w:rsidP="00143CC1">
            <w:pPr>
              <w:pStyle w:val="BodyTextIndent3"/>
              <w:keepNext/>
              <w:keepLines/>
              <w:widowControl/>
              <w:ind w:left="0" w:firstLine="0"/>
              <w:rPr>
                <w:rFonts w:ascii="Times New Roman" w:hAnsi="Times New Roman"/>
                <w:szCs w:val="24"/>
              </w:rPr>
            </w:pPr>
            <w:r w:rsidRPr="00143CC1">
              <w:rPr>
                <w:rFonts w:ascii="Times New Roman" w:hAnsi="Times New Roman"/>
                <w:szCs w:val="24"/>
              </w:rPr>
              <w:t xml:space="preserve">Mr. Ruhland discussed the requirements for management of the District’s records.  He reported that the Colorado Special District Association has a manual that may be used.  Following discussion, upon a motion duly made by </w:t>
            </w:r>
            <w:r>
              <w:rPr>
                <w:rFonts w:ascii="Times New Roman" w:hAnsi="Times New Roman"/>
                <w:szCs w:val="24"/>
              </w:rPr>
              <w:t>President Fellows</w:t>
            </w:r>
            <w:r w:rsidRPr="00143CC1">
              <w:rPr>
                <w:rFonts w:ascii="Times New Roman" w:hAnsi="Times New Roman"/>
                <w:szCs w:val="24"/>
              </w:rPr>
              <w:t xml:space="preserve">, seconded by Director </w:t>
            </w:r>
            <w:r>
              <w:rPr>
                <w:rFonts w:ascii="Times New Roman" w:hAnsi="Times New Roman"/>
                <w:szCs w:val="24"/>
              </w:rPr>
              <w:t>Kaufman</w:t>
            </w:r>
            <w:r w:rsidR="00950437" w:rsidRPr="00143CC1">
              <w:rPr>
                <w:rFonts w:ascii="Times New Roman" w:hAnsi="Times New Roman"/>
                <w:szCs w:val="24"/>
              </w:rPr>
              <w:t xml:space="preserve"> and unanimously carried</w:t>
            </w:r>
            <w:r w:rsidR="00950437">
              <w:rPr>
                <w:rFonts w:ascii="Times New Roman" w:hAnsi="Times New Roman"/>
                <w:szCs w:val="24"/>
              </w:rPr>
              <w:t>,</w:t>
            </w:r>
            <w:r w:rsidRPr="00143CC1">
              <w:rPr>
                <w:rFonts w:ascii="Times New Roman" w:hAnsi="Times New Roman"/>
                <w:szCs w:val="24"/>
              </w:rPr>
              <w:t xml:space="preserve"> the Board adopted using the Colorado Special District Association’s Records Management Manual.</w:t>
            </w:r>
          </w:p>
          <w:p w14:paraId="692EDB6D" w14:textId="72E0253D" w:rsidR="00143CC1" w:rsidRPr="00143CC1" w:rsidRDefault="00143CC1" w:rsidP="00143CC1">
            <w:pPr>
              <w:pStyle w:val="BodyTextIndent3"/>
              <w:keepNext/>
              <w:keepLines/>
              <w:widowControl/>
              <w:ind w:left="0" w:firstLine="0"/>
              <w:rPr>
                <w:rFonts w:ascii="Times New Roman" w:hAnsi="Times New Roman"/>
                <w:szCs w:val="24"/>
              </w:rPr>
            </w:pPr>
          </w:p>
        </w:tc>
      </w:tr>
      <w:tr w:rsidR="00652DA2" w:rsidRPr="00143CC1" w14:paraId="7BBE85C5" w14:textId="77777777" w:rsidTr="00F21E28">
        <w:tc>
          <w:tcPr>
            <w:tcW w:w="2868" w:type="dxa"/>
          </w:tcPr>
          <w:p w14:paraId="2A2D15B6" w14:textId="5DECABD5" w:rsidR="00652DA2" w:rsidRPr="00143CC1" w:rsidRDefault="00652DA2" w:rsidP="00F959C4">
            <w:pPr>
              <w:widowControl w:val="0"/>
              <w:rPr>
                <w:szCs w:val="24"/>
              </w:rPr>
            </w:pPr>
            <w:r w:rsidRPr="00143CC1">
              <w:rPr>
                <w:szCs w:val="24"/>
              </w:rPr>
              <w:t>Resolution Designating Posting Location</w:t>
            </w:r>
          </w:p>
        </w:tc>
        <w:tc>
          <w:tcPr>
            <w:tcW w:w="6708" w:type="dxa"/>
          </w:tcPr>
          <w:p w14:paraId="0AFE6B21" w14:textId="73C2E60A" w:rsidR="00143CC1" w:rsidRDefault="00143CC1" w:rsidP="00143CC1">
            <w:pPr>
              <w:pStyle w:val="BodyTextIndent3"/>
              <w:keepNext/>
              <w:keepLines/>
              <w:widowControl/>
              <w:ind w:left="0" w:firstLine="0"/>
              <w:rPr>
                <w:rFonts w:ascii="Times New Roman" w:hAnsi="Times New Roman"/>
                <w:szCs w:val="24"/>
              </w:rPr>
            </w:pPr>
            <w:r w:rsidRPr="00143CC1">
              <w:rPr>
                <w:rFonts w:ascii="Times New Roman" w:hAnsi="Times New Roman"/>
                <w:szCs w:val="24"/>
              </w:rPr>
              <w:t xml:space="preserve">Following discussion, upon a motion duly made by </w:t>
            </w:r>
            <w:r>
              <w:rPr>
                <w:rFonts w:ascii="Times New Roman" w:hAnsi="Times New Roman"/>
                <w:szCs w:val="24"/>
              </w:rPr>
              <w:t>President Fellows</w:t>
            </w:r>
            <w:r w:rsidRPr="00143CC1">
              <w:rPr>
                <w:rFonts w:ascii="Times New Roman" w:hAnsi="Times New Roman"/>
                <w:szCs w:val="24"/>
              </w:rPr>
              <w:t xml:space="preserve">, seconded by Director </w:t>
            </w:r>
            <w:r>
              <w:rPr>
                <w:rFonts w:ascii="Times New Roman" w:hAnsi="Times New Roman"/>
                <w:szCs w:val="24"/>
              </w:rPr>
              <w:t>Kaufman</w:t>
            </w:r>
            <w:r w:rsidR="00950437" w:rsidRPr="00143CC1">
              <w:rPr>
                <w:rFonts w:ascii="Times New Roman" w:hAnsi="Times New Roman"/>
                <w:szCs w:val="24"/>
              </w:rPr>
              <w:t xml:space="preserve"> and unanimously carried</w:t>
            </w:r>
            <w:r w:rsidR="00950437">
              <w:rPr>
                <w:rFonts w:ascii="Times New Roman" w:hAnsi="Times New Roman"/>
                <w:szCs w:val="24"/>
              </w:rPr>
              <w:t>,</w:t>
            </w:r>
            <w:r w:rsidRPr="00143CC1">
              <w:rPr>
                <w:rFonts w:ascii="Times New Roman" w:hAnsi="Times New Roman"/>
                <w:szCs w:val="24"/>
              </w:rPr>
              <w:t xml:space="preserve"> the Board adopted </w:t>
            </w:r>
            <w:r>
              <w:rPr>
                <w:rFonts w:ascii="Times New Roman" w:hAnsi="Times New Roman"/>
                <w:szCs w:val="24"/>
              </w:rPr>
              <w:t xml:space="preserve">the Resolution </w:t>
            </w:r>
            <w:r w:rsidR="0057751F">
              <w:rPr>
                <w:rFonts w:ascii="Times New Roman" w:hAnsi="Times New Roman"/>
                <w:szCs w:val="24"/>
              </w:rPr>
              <w:t>Designating Posting Location as</w:t>
            </w:r>
            <w:r>
              <w:rPr>
                <w:rFonts w:ascii="Times New Roman" w:hAnsi="Times New Roman"/>
                <w:szCs w:val="24"/>
              </w:rPr>
              <w:t xml:space="preserve"> East 56</w:t>
            </w:r>
            <w:r w:rsidRPr="00143CC1">
              <w:rPr>
                <w:rFonts w:ascii="Times New Roman" w:hAnsi="Times New Roman"/>
                <w:szCs w:val="24"/>
                <w:vertAlign w:val="superscript"/>
              </w:rPr>
              <w:t>th</w:t>
            </w:r>
            <w:r>
              <w:rPr>
                <w:rFonts w:ascii="Times New Roman" w:hAnsi="Times New Roman"/>
                <w:szCs w:val="24"/>
              </w:rPr>
              <w:t xml:space="preserve"> Avenue and Gun Club Road as the designated posting location</w:t>
            </w:r>
            <w:r w:rsidRPr="00143CC1">
              <w:rPr>
                <w:rFonts w:ascii="Times New Roman" w:hAnsi="Times New Roman"/>
                <w:szCs w:val="24"/>
              </w:rPr>
              <w:t>.</w:t>
            </w:r>
          </w:p>
          <w:p w14:paraId="1EA6B01A" w14:textId="1F37BED1" w:rsidR="00652DA2" w:rsidRPr="00143CC1" w:rsidRDefault="00652DA2" w:rsidP="00652DA2">
            <w:pPr>
              <w:pStyle w:val="BodyText"/>
              <w:rPr>
                <w:szCs w:val="24"/>
              </w:rPr>
            </w:pPr>
          </w:p>
        </w:tc>
      </w:tr>
      <w:tr w:rsidR="00D72C23" w:rsidRPr="00143CC1" w14:paraId="6492B563" w14:textId="77777777" w:rsidTr="00F21E28">
        <w:tc>
          <w:tcPr>
            <w:tcW w:w="2868" w:type="dxa"/>
          </w:tcPr>
          <w:p w14:paraId="4D824154" w14:textId="77777777" w:rsidR="006D5DD4" w:rsidRDefault="00D72C23" w:rsidP="00F959C4">
            <w:pPr>
              <w:widowControl w:val="0"/>
              <w:rPr>
                <w:szCs w:val="24"/>
              </w:rPr>
            </w:pPr>
            <w:r w:rsidRPr="00D72C23">
              <w:rPr>
                <w:szCs w:val="24"/>
              </w:rPr>
              <w:t xml:space="preserve">Public Officials’ Liability </w:t>
            </w:r>
            <w:r>
              <w:rPr>
                <w:szCs w:val="24"/>
              </w:rPr>
              <w:t xml:space="preserve"> Insurance </w:t>
            </w:r>
            <w:r w:rsidRPr="00D72C23">
              <w:rPr>
                <w:szCs w:val="24"/>
              </w:rPr>
              <w:t xml:space="preserve">Coverage and </w:t>
            </w:r>
          </w:p>
          <w:p w14:paraId="7840A49D" w14:textId="191110F4" w:rsidR="00D72C23" w:rsidRPr="00143CC1" w:rsidRDefault="00D72C23" w:rsidP="00F959C4">
            <w:pPr>
              <w:widowControl w:val="0"/>
              <w:rPr>
                <w:szCs w:val="24"/>
              </w:rPr>
            </w:pPr>
            <w:r w:rsidRPr="00D72C23">
              <w:rPr>
                <w:szCs w:val="24"/>
              </w:rPr>
              <w:t>General Liability</w:t>
            </w:r>
            <w:r>
              <w:rPr>
                <w:szCs w:val="24"/>
              </w:rPr>
              <w:t xml:space="preserve"> Insurance</w:t>
            </w:r>
            <w:r w:rsidRPr="00D72C23">
              <w:rPr>
                <w:szCs w:val="24"/>
              </w:rPr>
              <w:t xml:space="preserve"> Coverage</w:t>
            </w:r>
          </w:p>
        </w:tc>
        <w:tc>
          <w:tcPr>
            <w:tcW w:w="6708" w:type="dxa"/>
          </w:tcPr>
          <w:p w14:paraId="62F8243A" w14:textId="51647FDA" w:rsidR="00D72C23" w:rsidRPr="00143CC1" w:rsidRDefault="00D72C23" w:rsidP="00143CC1">
            <w:pPr>
              <w:pStyle w:val="BodyTextIndent3"/>
              <w:keepNext/>
              <w:keepLines/>
              <w:widowControl/>
              <w:ind w:left="0" w:firstLine="0"/>
              <w:rPr>
                <w:rFonts w:ascii="Times New Roman" w:hAnsi="Times New Roman"/>
                <w:szCs w:val="24"/>
              </w:rPr>
            </w:pPr>
            <w:r>
              <w:rPr>
                <w:rFonts w:ascii="Times New Roman" w:hAnsi="Times New Roman"/>
                <w:szCs w:val="24"/>
              </w:rPr>
              <w:t>Deferred.</w:t>
            </w:r>
          </w:p>
        </w:tc>
      </w:tr>
      <w:tr w:rsidR="00D72C23" w:rsidRPr="00143CC1" w14:paraId="1747008A" w14:textId="77777777" w:rsidTr="00F21E28">
        <w:tc>
          <w:tcPr>
            <w:tcW w:w="2868" w:type="dxa"/>
          </w:tcPr>
          <w:p w14:paraId="0A41A01D" w14:textId="77777777" w:rsidR="006D5DD4" w:rsidRDefault="006D5DD4" w:rsidP="00F959C4">
            <w:pPr>
              <w:widowControl w:val="0"/>
              <w:rPr>
                <w:szCs w:val="24"/>
              </w:rPr>
            </w:pPr>
          </w:p>
          <w:p w14:paraId="1CA95B0F" w14:textId="062D1314" w:rsidR="00D72C23" w:rsidRPr="00143CC1" w:rsidRDefault="00D72C23" w:rsidP="00F959C4">
            <w:pPr>
              <w:widowControl w:val="0"/>
              <w:rPr>
                <w:szCs w:val="24"/>
              </w:rPr>
            </w:pPr>
            <w:r w:rsidRPr="00D72C23">
              <w:rPr>
                <w:szCs w:val="24"/>
              </w:rPr>
              <w:t>Special District Association</w:t>
            </w:r>
            <w:r>
              <w:rPr>
                <w:szCs w:val="24"/>
              </w:rPr>
              <w:t xml:space="preserve"> Membership</w:t>
            </w:r>
          </w:p>
        </w:tc>
        <w:tc>
          <w:tcPr>
            <w:tcW w:w="6708" w:type="dxa"/>
          </w:tcPr>
          <w:p w14:paraId="59FAB1C2" w14:textId="77777777" w:rsidR="006D5DD4" w:rsidRDefault="006D5DD4" w:rsidP="00143CC1">
            <w:pPr>
              <w:pStyle w:val="BodyTextIndent3"/>
              <w:keepNext/>
              <w:keepLines/>
              <w:widowControl/>
              <w:ind w:left="0" w:firstLine="0"/>
              <w:rPr>
                <w:rFonts w:ascii="Times New Roman" w:hAnsi="Times New Roman"/>
                <w:szCs w:val="24"/>
              </w:rPr>
            </w:pPr>
          </w:p>
          <w:p w14:paraId="28170C7E" w14:textId="12A834B5" w:rsidR="00D72C23" w:rsidRPr="00143CC1" w:rsidRDefault="00D72C23" w:rsidP="00143CC1">
            <w:pPr>
              <w:pStyle w:val="BodyTextIndent3"/>
              <w:keepNext/>
              <w:keepLines/>
              <w:widowControl/>
              <w:ind w:left="0" w:firstLine="0"/>
              <w:rPr>
                <w:rFonts w:ascii="Times New Roman" w:hAnsi="Times New Roman"/>
                <w:szCs w:val="24"/>
              </w:rPr>
            </w:pPr>
            <w:r>
              <w:rPr>
                <w:rFonts w:ascii="Times New Roman" w:hAnsi="Times New Roman"/>
                <w:szCs w:val="24"/>
              </w:rPr>
              <w:t xml:space="preserve">Deferred. </w:t>
            </w:r>
          </w:p>
        </w:tc>
      </w:tr>
      <w:tr w:rsidR="00C15CED" w:rsidRPr="00143CC1" w14:paraId="5FA4168D" w14:textId="77777777" w:rsidTr="00F21E28">
        <w:tc>
          <w:tcPr>
            <w:tcW w:w="2868" w:type="dxa"/>
          </w:tcPr>
          <w:p w14:paraId="7EE5C72D" w14:textId="77777777" w:rsidR="006D5DD4" w:rsidRDefault="006D5DD4" w:rsidP="00F959C4">
            <w:pPr>
              <w:widowControl w:val="0"/>
              <w:rPr>
                <w:szCs w:val="24"/>
              </w:rPr>
            </w:pPr>
          </w:p>
          <w:p w14:paraId="00F0FEDA" w14:textId="01824D8D" w:rsidR="00C15CED" w:rsidRPr="00D72C23" w:rsidRDefault="00C15CED" w:rsidP="00F959C4">
            <w:pPr>
              <w:widowControl w:val="0"/>
              <w:rPr>
                <w:szCs w:val="24"/>
              </w:rPr>
            </w:pPr>
            <w:r>
              <w:rPr>
                <w:szCs w:val="24"/>
              </w:rPr>
              <w:t>Indemnification Resolution</w:t>
            </w:r>
          </w:p>
        </w:tc>
        <w:tc>
          <w:tcPr>
            <w:tcW w:w="6708" w:type="dxa"/>
          </w:tcPr>
          <w:p w14:paraId="1EBF448C" w14:textId="77777777" w:rsidR="006D5DD4" w:rsidRDefault="006D5DD4" w:rsidP="00143CC1">
            <w:pPr>
              <w:pStyle w:val="BodyTextIndent3"/>
              <w:keepNext/>
              <w:keepLines/>
              <w:widowControl/>
              <w:ind w:left="0" w:firstLine="0"/>
              <w:rPr>
                <w:rFonts w:ascii="Times New Roman" w:hAnsi="Times New Roman"/>
                <w:szCs w:val="24"/>
              </w:rPr>
            </w:pPr>
          </w:p>
          <w:p w14:paraId="134791A8" w14:textId="501708F3" w:rsidR="00C15CED" w:rsidRDefault="00C15CED" w:rsidP="00143CC1">
            <w:pPr>
              <w:pStyle w:val="BodyTextIndent3"/>
              <w:keepNext/>
              <w:keepLines/>
              <w:widowControl/>
              <w:ind w:left="0" w:firstLine="0"/>
              <w:rPr>
                <w:rFonts w:ascii="Times New Roman" w:hAnsi="Times New Roman"/>
                <w:szCs w:val="24"/>
              </w:rPr>
            </w:pPr>
            <w:r w:rsidRPr="00C15CED">
              <w:rPr>
                <w:rFonts w:ascii="Times New Roman" w:hAnsi="Times New Roman"/>
                <w:szCs w:val="24"/>
              </w:rPr>
              <w:t xml:space="preserve">Mr. Ruhland presented and reviewed the law relating to liability of public officials and the proposed Indemnification Resolution providing for personal protection of the Directors, officers and employees of the Authority.  Following discussion, </w:t>
            </w:r>
            <w:r w:rsidRPr="00143CC1">
              <w:rPr>
                <w:rFonts w:ascii="Times New Roman" w:hAnsi="Times New Roman"/>
                <w:szCs w:val="24"/>
              </w:rPr>
              <w:t xml:space="preserve">upon a motion duly made by </w:t>
            </w:r>
            <w:r>
              <w:rPr>
                <w:rFonts w:ascii="Times New Roman" w:hAnsi="Times New Roman"/>
                <w:szCs w:val="24"/>
              </w:rPr>
              <w:t>President Fellows</w:t>
            </w:r>
            <w:r w:rsidRPr="00143CC1">
              <w:rPr>
                <w:rFonts w:ascii="Times New Roman" w:hAnsi="Times New Roman"/>
                <w:szCs w:val="24"/>
              </w:rPr>
              <w:t xml:space="preserve">, seconded by Director </w:t>
            </w:r>
            <w:r>
              <w:rPr>
                <w:rFonts w:ascii="Times New Roman" w:hAnsi="Times New Roman"/>
                <w:szCs w:val="24"/>
              </w:rPr>
              <w:t>Kaufman</w:t>
            </w:r>
            <w:r w:rsidR="00950437" w:rsidRPr="00143CC1">
              <w:rPr>
                <w:rFonts w:ascii="Times New Roman" w:hAnsi="Times New Roman"/>
                <w:szCs w:val="24"/>
              </w:rPr>
              <w:t xml:space="preserve"> and unanimously carried</w:t>
            </w:r>
            <w:r w:rsidR="00950437">
              <w:rPr>
                <w:rFonts w:ascii="Times New Roman" w:hAnsi="Times New Roman"/>
                <w:szCs w:val="24"/>
              </w:rPr>
              <w:t>,</w:t>
            </w:r>
            <w:r w:rsidRPr="00C15CED">
              <w:rPr>
                <w:rFonts w:ascii="Times New Roman" w:hAnsi="Times New Roman"/>
                <w:szCs w:val="24"/>
              </w:rPr>
              <w:t xml:space="preserve"> the Board adopted the Indemnification Resolution.</w:t>
            </w:r>
          </w:p>
          <w:p w14:paraId="386D996F" w14:textId="17181E1A" w:rsidR="00C15CED" w:rsidRDefault="00C15CED" w:rsidP="00143CC1">
            <w:pPr>
              <w:pStyle w:val="BodyTextIndent3"/>
              <w:keepNext/>
              <w:keepLines/>
              <w:widowControl/>
              <w:ind w:left="0" w:firstLine="0"/>
              <w:rPr>
                <w:rFonts w:ascii="Times New Roman" w:hAnsi="Times New Roman"/>
                <w:szCs w:val="24"/>
              </w:rPr>
            </w:pPr>
          </w:p>
        </w:tc>
      </w:tr>
      <w:tr w:rsidR="002847CD" w:rsidRPr="00143CC1" w14:paraId="04305A3A" w14:textId="77777777" w:rsidTr="00F21E28">
        <w:tc>
          <w:tcPr>
            <w:tcW w:w="2868" w:type="dxa"/>
          </w:tcPr>
          <w:p w14:paraId="54495A8E" w14:textId="39FEFE37" w:rsidR="002847CD" w:rsidRDefault="002847CD" w:rsidP="002847CD">
            <w:pPr>
              <w:widowControl w:val="0"/>
              <w:rPr>
                <w:szCs w:val="24"/>
              </w:rPr>
            </w:pPr>
            <w:r>
              <w:t>Consumer Data Privacy Policy</w:t>
            </w:r>
          </w:p>
        </w:tc>
        <w:tc>
          <w:tcPr>
            <w:tcW w:w="6708" w:type="dxa"/>
          </w:tcPr>
          <w:p w14:paraId="066B54AF" w14:textId="509C98C6" w:rsidR="002847CD" w:rsidRDefault="002847CD" w:rsidP="002847CD">
            <w:pPr>
              <w:pStyle w:val="BodyTextIndent3"/>
              <w:keepNext/>
              <w:keepLines/>
              <w:widowControl/>
              <w:ind w:left="0" w:firstLine="0"/>
              <w:rPr>
                <w:rFonts w:ascii="Times New Roman" w:hAnsi="Times New Roman"/>
              </w:rPr>
            </w:pPr>
            <w:r w:rsidRPr="005609E6">
              <w:rPr>
                <w:rFonts w:ascii="Times New Roman" w:hAnsi="Times New Roman"/>
              </w:rPr>
              <w:t xml:space="preserve">Mr. </w:t>
            </w:r>
            <w:r>
              <w:rPr>
                <w:rFonts w:ascii="Times New Roman" w:hAnsi="Times New Roman"/>
              </w:rPr>
              <w:t>Ruhland</w:t>
            </w:r>
            <w:r w:rsidRPr="005609E6">
              <w:rPr>
                <w:rFonts w:ascii="Times New Roman" w:hAnsi="Times New Roman"/>
              </w:rPr>
              <w:t xml:space="preserve"> presented and reviewed the Resolution </w:t>
            </w:r>
            <w:r>
              <w:rPr>
                <w:rFonts w:ascii="Times New Roman" w:hAnsi="Times New Roman"/>
              </w:rPr>
              <w:t xml:space="preserve">Adopting Consumer Data Privacy Policy.  Following discussion, </w:t>
            </w:r>
            <w:r w:rsidRPr="00143CC1">
              <w:rPr>
                <w:rFonts w:ascii="Times New Roman" w:hAnsi="Times New Roman"/>
                <w:szCs w:val="24"/>
              </w:rPr>
              <w:t xml:space="preserve">upon a motion duly made by </w:t>
            </w:r>
            <w:r>
              <w:rPr>
                <w:rFonts w:ascii="Times New Roman" w:hAnsi="Times New Roman"/>
                <w:szCs w:val="24"/>
              </w:rPr>
              <w:t>President Fellows</w:t>
            </w:r>
            <w:r w:rsidRPr="00143CC1">
              <w:rPr>
                <w:rFonts w:ascii="Times New Roman" w:hAnsi="Times New Roman"/>
                <w:szCs w:val="24"/>
              </w:rPr>
              <w:t xml:space="preserve">, seconded by Director </w:t>
            </w:r>
            <w:r>
              <w:rPr>
                <w:rFonts w:ascii="Times New Roman" w:hAnsi="Times New Roman"/>
                <w:szCs w:val="24"/>
              </w:rPr>
              <w:t>Kaufman</w:t>
            </w:r>
            <w:r w:rsidR="00950437" w:rsidRPr="00143CC1">
              <w:rPr>
                <w:rFonts w:ascii="Times New Roman" w:hAnsi="Times New Roman"/>
                <w:szCs w:val="24"/>
              </w:rPr>
              <w:t xml:space="preserve"> and unanimously carried</w:t>
            </w:r>
            <w:r w:rsidR="00950437">
              <w:rPr>
                <w:rFonts w:ascii="Times New Roman" w:hAnsi="Times New Roman"/>
                <w:szCs w:val="24"/>
              </w:rPr>
              <w:t>,</w:t>
            </w:r>
            <w:r>
              <w:rPr>
                <w:rFonts w:ascii="Times New Roman" w:hAnsi="Times New Roman"/>
              </w:rPr>
              <w:t xml:space="preserve"> the Board adopted the Resolution Adopting a Consumer Data Privacy Policy.</w:t>
            </w:r>
          </w:p>
          <w:p w14:paraId="1D23DF0B" w14:textId="77777777" w:rsidR="002847CD" w:rsidRPr="00C15CED" w:rsidRDefault="002847CD" w:rsidP="002847CD">
            <w:pPr>
              <w:pStyle w:val="BodyTextIndent3"/>
              <w:keepNext/>
              <w:keepLines/>
              <w:widowControl/>
              <w:ind w:left="0" w:firstLine="0"/>
              <w:rPr>
                <w:rFonts w:ascii="Times New Roman" w:hAnsi="Times New Roman"/>
                <w:szCs w:val="24"/>
              </w:rPr>
            </w:pPr>
          </w:p>
        </w:tc>
      </w:tr>
      <w:tr w:rsidR="002847CD" w:rsidRPr="00143CC1" w14:paraId="401413D0" w14:textId="77777777" w:rsidTr="00F21E28">
        <w:tc>
          <w:tcPr>
            <w:tcW w:w="2868" w:type="dxa"/>
          </w:tcPr>
          <w:p w14:paraId="3804B5C5" w14:textId="459D4977" w:rsidR="002847CD" w:rsidRDefault="00A65CD5" w:rsidP="00810F01">
            <w:pPr>
              <w:widowControl w:val="0"/>
            </w:pPr>
            <w:r w:rsidRPr="00A65CD5">
              <w:t xml:space="preserve">Tax </w:t>
            </w:r>
            <w:r w:rsidR="00810F01">
              <w:t xml:space="preserve">ID </w:t>
            </w:r>
            <w:r w:rsidRPr="00A65CD5">
              <w:t>Numbers.</w:t>
            </w:r>
          </w:p>
        </w:tc>
        <w:tc>
          <w:tcPr>
            <w:tcW w:w="6708" w:type="dxa"/>
          </w:tcPr>
          <w:p w14:paraId="1EAD1737" w14:textId="77777777" w:rsidR="002847CD" w:rsidRDefault="00810F01" w:rsidP="00810F01">
            <w:pPr>
              <w:pStyle w:val="BodyTextIndent3"/>
              <w:keepNext/>
              <w:keepLines/>
              <w:widowControl/>
              <w:ind w:left="0" w:firstLine="0"/>
              <w:rPr>
                <w:rFonts w:ascii="Times New Roman" w:hAnsi="Times New Roman"/>
              </w:rPr>
            </w:pPr>
            <w:r w:rsidRPr="00810F01">
              <w:rPr>
                <w:rFonts w:ascii="Times New Roman" w:hAnsi="Times New Roman"/>
              </w:rPr>
              <w:t xml:space="preserve">Mr. Ruhland presented the Application for the Federal Employer Identification Number, Colorado Sales Tax Exemption Number and the Public Deposit Protection Act Identification Number for the District.  Upon motion duly made by </w:t>
            </w:r>
            <w:r>
              <w:rPr>
                <w:rFonts w:ascii="Times New Roman" w:hAnsi="Times New Roman"/>
              </w:rPr>
              <w:t>President Fellows</w:t>
            </w:r>
            <w:r w:rsidRPr="00810F01">
              <w:rPr>
                <w:rFonts w:ascii="Times New Roman" w:hAnsi="Times New Roman"/>
              </w:rPr>
              <w:t xml:space="preserve">, seconded by Director </w:t>
            </w:r>
            <w:r>
              <w:rPr>
                <w:rFonts w:ascii="Times New Roman" w:hAnsi="Times New Roman"/>
              </w:rPr>
              <w:t>Kaufman and unanimously carried</w:t>
            </w:r>
            <w:r w:rsidRPr="00810F01">
              <w:rPr>
                <w:rFonts w:ascii="Times New Roman" w:hAnsi="Times New Roman"/>
              </w:rPr>
              <w:t xml:space="preserve">, the Board approved the Applications and directed Mr. Ruhland arrange for the appropriate filings.  </w:t>
            </w:r>
          </w:p>
          <w:p w14:paraId="27BE06B5" w14:textId="0EFD18CD" w:rsidR="00810F01" w:rsidRPr="005609E6" w:rsidRDefault="00810F01" w:rsidP="00810F01">
            <w:pPr>
              <w:pStyle w:val="BodyTextIndent3"/>
              <w:keepNext/>
              <w:keepLines/>
              <w:widowControl/>
              <w:ind w:left="0" w:firstLine="0"/>
              <w:rPr>
                <w:rFonts w:ascii="Times New Roman" w:hAnsi="Times New Roman"/>
              </w:rPr>
            </w:pPr>
          </w:p>
        </w:tc>
      </w:tr>
      <w:tr w:rsidR="002847CD" w:rsidRPr="00143CC1" w14:paraId="6EBB41B7" w14:textId="77777777" w:rsidTr="00F21E28">
        <w:tc>
          <w:tcPr>
            <w:tcW w:w="2868" w:type="dxa"/>
          </w:tcPr>
          <w:p w14:paraId="2588A3A2" w14:textId="08F9BA0E" w:rsidR="002847CD" w:rsidRDefault="002847CD" w:rsidP="002847CD">
            <w:pPr>
              <w:widowControl w:val="0"/>
            </w:pPr>
            <w:r>
              <w:lastRenderedPageBreak/>
              <w:t>Authority Bank Accounts</w:t>
            </w:r>
          </w:p>
        </w:tc>
        <w:tc>
          <w:tcPr>
            <w:tcW w:w="6708" w:type="dxa"/>
          </w:tcPr>
          <w:p w14:paraId="6F635E2F" w14:textId="15E0261E" w:rsidR="002847CD" w:rsidRDefault="002847CD" w:rsidP="002847CD">
            <w:pPr>
              <w:pStyle w:val="BodyTextIndent3"/>
              <w:keepNext/>
              <w:keepLines/>
              <w:widowControl/>
              <w:ind w:left="0" w:firstLine="0"/>
              <w:rPr>
                <w:rFonts w:ascii="Times New Roman" w:hAnsi="Times New Roman"/>
              </w:rPr>
            </w:pPr>
            <w:r w:rsidRPr="00875E7A">
              <w:rPr>
                <w:rFonts w:ascii="Times New Roman" w:hAnsi="Times New Roman"/>
              </w:rPr>
              <w:t xml:space="preserve">Following discussion, </w:t>
            </w:r>
            <w:r w:rsidRPr="00143CC1">
              <w:rPr>
                <w:rFonts w:ascii="Times New Roman" w:hAnsi="Times New Roman"/>
                <w:szCs w:val="24"/>
              </w:rPr>
              <w:t xml:space="preserve">upon a motion duly made by </w:t>
            </w:r>
            <w:r>
              <w:rPr>
                <w:rFonts w:ascii="Times New Roman" w:hAnsi="Times New Roman"/>
                <w:szCs w:val="24"/>
              </w:rPr>
              <w:t>President Fellows</w:t>
            </w:r>
            <w:r w:rsidRPr="00143CC1">
              <w:rPr>
                <w:rFonts w:ascii="Times New Roman" w:hAnsi="Times New Roman"/>
                <w:szCs w:val="24"/>
              </w:rPr>
              <w:t xml:space="preserve">, seconded by Director </w:t>
            </w:r>
            <w:r>
              <w:rPr>
                <w:rFonts w:ascii="Times New Roman" w:hAnsi="Times New Roman"/>
                <w:szCs w:val="24"/>
              </w:rPr>
              <w:t>O’Connor</w:t>
            </w:r>
            <w:r w:rsidR="00950437" w:rsidRPr="00143CC1">
              <w:rPr>
                <w:rFonts w:ascii="Times New Roman" w:hAnsi="Times New Roman"/>
                <w:szCs w:val="24"/>
              </w:rPr>
              <w:t xml:space="preserve"> and unanimously carried</w:t>
            </w:r>
            <w:r w:rsidR="00950437">
              <w:rPr>
                <w:rFonts w:ascii="Times New Roman" w:hAnsi="Times New Roman"/>
                <w:szCs w:val="24"/>
              </w:rPr>
              <w:t>,</w:t>
            </w:r>
            <w:r>
              <w:rPr>
                <w:rFonts w:ascii="Times New Roman" w:hAnsi="Times New Roman"/>
              </w:rPr>
              <w:t xml:space="preserve"> the Board</w:t>
            </w:r>
            <w:r w:rsidRPr="00875E7A">
              <w:rPr>
                <w:rFonts w:ascii="Times New Roman" w:hAnsi="Times New Roman"/>
              </w:rPr>
              <w:t xml:space="preserve"> directed</w:t>
            </w:r>
            <w:r>
              <w:rPr>
                <w:rFonts w:ascii="Times New Roman" w:hAnsi="Times New Roman"/>
              </w:rPr>
              <w:t xml:space="preserve"> Simmons &amp; Wheeler, P.C., once engaged, </w:t>
            </w:r>
            <w:r w:rsidRPr="00875E7A">
              <w:rPr>
                <w:rFonts w:ascii="Times New Roman" w:hAnsi="Times New Roman"/>
              </w:rPr>
              <w:t>to establish a checking account</w:t>
            </w:r>
            <w:r>
              <w:rPr>
                <w:rFonts w:ascii="Times New Roman" w:hAnsi="Times New Roman"/>
              </w:rPr>
              <w:t xml:space="preserve"> for the</w:t>
            </w:r>
            <w:r w:rsidRPr="00875E7A">
              <w:rPr>
                <w:rFonts w:ascii="Times New Roman" w:hAnsi="Times New Roman"/>
              </w:rPr>
              <w:t xml:space="preserve"> </w:t>
            </w:r>
            <w:r>
              <w:rPr>
                <w:rFonts w:ascii="Times New Roman" w:hAnsi="Times New Roman"/>
              </w:rPr>
              <w:t>Authority</w:t>
            </w:r>
            <w:r w:rsidRPr="00875E7A">
              <w:rPr>
                <w:rFonts w:ascii="Times New Roman" w:hAnsi="Times New Roman"/>
              </w:rPr>
              <w:t xml:space="preserve"> </w:t>
            </w:r>
            <w:r>
              <w:rPr>
                <w:rFonts w:ascii="Times New Roman" w:hAnsi="Times New Roman"/>
              </w:rPr>
              <w:t>and</w:t>
            </w:r>
            <w:r w:rsidRPr="00875E7A">
              <w:rPr>
                <w:rFonts w:ascii="Times New Roman" w:hAnsi="Times New Roman"/>
              </w:rPr>
              <w:t xml:space="preserve"> authorize </w:t>
            </w:r>
            <w:r w:rsidR="006D5DD4">
              <w:rPr>
                <w:rFonts w:ascii="Times New Roman" w:hAnsi="Times New Roman"/>
              </w:rPr>
              <w:t xml:space="preserve">each </w:t>
            </w:r>
            <w:r>
              <w:rPr>
                <w:rFonts w:ascii="Times New Roman" w:hAnsi="Times New Roman"/>
              </w:rPr>
              <w:t xml:space="preserve">the </w:t>
            </w:r>
            <w:r w:rsidRPr="00875E7A">
              <w:rPr>
                <w:rFonts w:ascii="Times New Roman" w:hAnsi="Times New Roman"/>
              </w:rPr>
              <w:t>Directors to be authorized signatories</w:t>
            </w:r>
            <w:r w:rsidR="006D5DD4">
              <w:rPr>
                <w:rFonts w:ascii="Times New Roman" w:hAnsi="Times New Roman"/>
              </w:rPr>
              <w:t xml:space="preserve"> and requiring two (2) director signatures on all checks</w:t>
            </w:r>
            <w:r>
              <w:rPr>
                <w:rFonts w:ascii="Times New Roman" w:hAnsi="Times New Roman"/>
              </w:rPr>
              <w:t>.</w:t>
            </w:r>
          </w:p>
          <w:p w14:paraId="05FA4F27" w14:textId="77777777" w:rsidR="002847CD" w:rsidRPr="005609E6" w:rsidRDefault="002847CD" w:rsidP="002847CD">
            <w:pPr>
              <w:pStyle w:val="BodyTextIndent3"/>
              <w:keepNext/>
              <w:keepLines/>
              <w:widowControl/>
              <w:ind w:left="0" w:firstLine="0"/>
              <w:rPr>
                <w:rFonts w:ascii="Times New Roman" w:hAnsi="Times New Roman"/>
              </w:rPr>
            </w:pPr>
          </w:p>
        </w:tc>
      </w:tr>
      <w:tr w:rsidR="00652DA2" w:rsidRPr="00143CC1" w14:paraId="4016A64D" w14:textId="77777777" w:rsidTr="00F21E28">
        <w:tc>
          <w:tcPr>
            <w:tcW w:w="2868" w:type="dxa"/>
          </w:tcPr>
          <w:p w14:paraId="2887FB40" w14:textId="2C68A25C" w:rsidR="00652DA2" w:rsidRPr="00143CC1" w:rsidRDefault="00652DA2" w:rsidP="00F959C4">
            <w:pPr>
              <w:widowControl w:val="0"/>
              <w:rPr>
                <w:szCs w:val="24"/>
              </w:rPr>
            </w:pPr>
            <w:r w:rsidRPr="00143CC1">
              <w:rPr>
                <w:szCs w:val="24"/>
              </w:rPr>
              <w:t>Engagement of Collins Cockrel &amp; Cole, P.C.</w:t>
            </w:r>
          </w:p>
        </w:tc>
        <w:tc>
          <w:tcPr>
            <w:tcW w:w="6708" w:type="dxa"/>
          </w:tcPr>
          <w:p w14:paraId="704E373A" w14:textId="7E8E673F" w:rsidR="00652DA2" w:rsidRPr="00143CC1" w:rsidRDefault="00652DA2" w:rsidP="00652DA2">
            <w:pPr>
              <w:pStyle w:val="BodyText"/>
              <w:rPr>
                <w:szCs w:val="24"/>
              </w:rPr>
            </w:pPr>
            <w:r w:rsidRPr="00143CC1">
              <w:rPr>
                <w:szCs w:val="24"/>
              </w:rPr>
              <w:t xml:space="preserve">Following discussion and </w:t>
            </w:r>
            <w:r w:rsidR="002847CD" w:rsidRPr="00143CC1">
              <w:rPr>
                <w:szCs w:val="24"/>
              </w:rPr>
              <w:t xml:space="preserve">upon a motion duly made by </w:t>
            </w:r>
            <w:r w:rsidR="002847CD">
              <w:rPr>
                <w:szCs w:val="24"/>
              </w:rPr>
              <w:t>President Fellows</w:t>
            </w:r>
            <w:r w:rsidR="002847CD" w:rsidRPr="00143CC1">
              <w:rPr>
                <w:szCs w:val="24"/>
              </w:rPr>
              <w:t xml:space="preserve">, seconded by Director </w:t>
            </w:r>
            <w:r w:rsidR="002847CD">
              <w:rPr>
                <w:szCs w:val="24"/>
              </w:rPr>
              <w:t>Kaufman</w:t>
            </w:r>
            <w:r w:rsidR="00950437" w:rsidRPr="00143CC1">
              <w:rPr>
                <w:szCs w:val="24"/>
              </w:rPr>
              <w:t xml:space="preserve"> and unanimously carried</w:t>
            </w:r>
            <w:r w:rsidR="00950437">
              <w:rPr>
                <w:szCs w:val="24"/>
              </w:rPr>
              <w:t>,</w:t>
            </w:r>
            <w:r w:rsidRPr="00143CC1">
              <w:rPr>
                <w:szCs w:val="24"/>
              </w:rPr>
              <w:t xml:space="preserve"> the Board approved the engagement of Collins Cockrel &amp; Cole, P.C. as the Authority’s general counsel.</w:t>
            </w:r>
          </w:p>
          <w:p w14:paraId="03BE8C3D" w14:textId="6F60D166" w:rsidR="00652DA2" w:rsidRPr="00143CC1" w:rsidRDefault="00652DA2" w:rsidP="00652DA2">
            <w:pPr>
              <w:pStyle w:val="BodyText"/>
              <w:rPr>
                <w:szCs w:val="24"/>
              </w:rPr>
            </w:pPr>
          </w:p>
        </w:tc>
      </w:tr>
      <w:tr w:rsidR="002847CD" w:rsidRPr="00143CC1" w14:paraId="273E77DF" w14:textId="77777777" w:rsidTr="00F21E28">
        <w:tc>
          <w:tcPr>
            <w:tcW w:w="2868" w:type="dxa"/>
          </w:tcPr>
          <w:p w14:paraId="4FA71EC9" w14:textId="537761A3" w:rsidR="002847CD" w:rsidRPr="00143CC1" w:rsidRDefault="002847CD" w:rsidP="002847CD">
            <w:pPr>
              <w:widowControl w:val="0"/>
              <w:rPr>
                <w:szCs w:val="24"/>
              </w:rPr>
            </w:pPr>
            <w:r w:rsidRPr="00143CC1">
              <w:rPr>
                <w:szCs w:val="24"/>
              </w:rPr>
              <w:t>Engagement of Simmons &amp; Wheeler, P.C.</w:t>
            </w:r>
            <w:r w:rsidR="002F2368">
              <w:rPr>
                <w:szCs w:val="24"/>
              </w:rPr>
              <w:t xml:space="preserve"> - Accountant</w:t>
            </w:r>
          </w:p>
        </w:tc>
        <w:tc>
          <w:tcPr>
            <w:tcW w:w="6708" w:type="dxa"/>
          </w:tcPr>
          <w:p w14:paraId="6B623EB1" w14:textId="7DA5AA25" w:rsidR="002847CD" w:rsidRPr="00143CC1" w:rsidRDefault="002847CD" w:rsidP="002847CD">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Kaufman</w:t>
            </w:r>
            <w:r w:rsidR="00950437" w:rsidRPr="00143CC1">
              <w:rPr>
                <w:szCs w:val="24"/>
              </w:rPr>
              <w:t xml:space="preserve"> and unanimously carried</w:t>
            </w:r>
            <w:r w:rsidR="00950437">
              <w:rPr>
                <w:szCs w:val="24"/>
              </w:rPr>
              <w:t>,</w:t>
            </w:r>
            <w:r w:rsidRPr="00143CC1">
              <w:rPr>
                <w:szCs w:val="24"/>
              </w:rPr>
              <w:t xml:space="preserve"> the Board approved the engagement of Simmons &amp; Wheeler, P.C. as the Authority’s accountant.</w:t>
            </w:r>
          </w:p>
          <w:p w14:paraId="5954DA10" w14:textId="612BE0F7" w:rsidR="002847CD" w:rsidRPr="00143CC1" w:rsidRDefault="002847CD" w:rsidP="002847CD">
            <w:pPr>
              <w:pStyle w:val="BodyText"/>
              <w:rPr>
                <w:szCs w:val="24"/>
              </w:rPr>
            </w:pPr>
          </w:p>
        </w:tc>
      </w:tr>
      <w:tr w:rsidR="002847CD" w:rsidRPr="00143CC1" w14:paraId="31FC9464" w14:textId="77777777" w:rsidTr="00F21E28">
        <w:tc>
          <w:tcPr>
            <w:tcW w:w="2868" w:type="dxa"/>
          </w:tcPr>
          <w:p w14:paraId="41971707" w14:textId="1C960E0B" w:rsidR="002847CD" w:rsidRPr="00143CC1" w:rsidRDefault="002847CD" w:rsidP="002847CD">
            <w:pPr>
              <w:widowControl w:val="0"/>
              <w:rPr>
                <w:szCs w:val="24"/>
              </w:rPr>
            </w:pPr>
            <w:r>
              <w:rPr>
                <w:szCs w:val="24"/>
              </w:rPr>
              <w:t>Engagement of Merrick</w:t>
            </w:r>
            <w:r w:rsidR="002F2368">
              <w:rPr>
                <w:szCs w:val="24"/>
              </w:rPr>
              <w:t xml:space="preserve"> - Engineer</w:t>
            </w:r>
          </w:p>
        </w:tc>
        <w:tc>
          <w:tcPr>
            <w:tcW w:w="6708" w:type="dxa"/>
          </w:tcPr>
          <w:p w14:paraId="40FFA320" w14:textId="65769F4D" w:rsidR="002847CD" w:rsidRPr="00143CC1" w:rsidRDefault="002847CD" w:rsidP="002847CD">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Kaufman</w:t>
            </w:r>
            <w:r w:rsidR="00950437" w:rsidRPr="00143CC1">
              <w:rPr>
                <w:szCs w:val="24"/>
              </w:rPr>
              <w:t xml:space="preserve"> and unanimously carried</w:t>
            </w:r>
            <w:r w:rsidR="00950437">
              <w:rPr>
                <w:szCs w:val="24"/>
              </w:rPr>
              <w:t>,</w:t>
            </w:r>
            <w:r w:rsidRPr="00143CC1">
              <w:rPr>
                <w:szCs w:val="24"/>
              </w:rPr>
              <w:t xml:space="preserve"> the Board approved the engagement of </w:t>
            </w:r>
            <w:r>
              <w:rPr>
                <w:szCs w:val="24"/>
              </w:rPr>
              <w:t>Merrick</w:t>
            </w:r>
            <w:r w:rsidRPr="00143CC1">
              <w:rPr>
                <w:szCs w:val="24"/>
              </w:rPr>
              <w:t xml:space="preserve"> as the Authority’s </w:t>
            </w:r>
            <w:r>
              <w:rPr>
                <w:szCs w:val="24"/>
              </w:rPr>
              <w:t>engineer</w:t>
            </w:r>
            <w:r w:rsidRPr="00143CC1">
              <w:rPr>
                <w:szCs w:val="24"/>
              </w:rPr>
              <w:t>.</w:t>
            </w:r>
          </w:p>
          <w:p w14:paraId="5C5B3491" w14:textId="77777777" w:rsidR="002847CD" w:rsidRPr="00143CC1" w:rsidRDefault="002847CD" w:rsidP="002847CD">
            <w:pPr>
              <w:pStyle w:val="BodyText"/>
              <w:rPr>
                <w:szCs w:val="24"/>
              </w:rPr>
            </w:pPr>
          </w:p>
        </w:tc>
      </w:tr>
      <w:tr w:rsidR="002F2368" w:rsidRPr="00143CC1" w14:paraId="1EC2AB49" w14:textId="77777777" w:rsidTr="00F21E28">
        <w:tc>
          <w:tcPr>
            <w:tcW w:w="2868" w:type="dxa"/>
          </w:tcPr>
          <w:p w14:paraId="0D6A1D02" w14:textId="77777777" w:rsidR="002F2368" w:rsidRDefault="002F2368" w:rsidP="002847CD">
            <w:pPr>
              <w:widowControl w:val="0"/>
              <w:rPr>
                <w:szCs w:val="24"/>
              </w:rPr>
            </w:pPr>
            <w:r w:rsidRPr="002F2368">
              <w:rPr>
                <w:szCs w:val="24"/>
              </w:rPr>
              <w:t>Special Disclosure of Costs of Legal Services in Connection with Bonds – Collins, Cockrel and &amp; Cole, P.C.</w:t>
            </w:r>
          </w:p>
          <w:p w14:paraId="1F94A576" w14:textId="25E9979D" w:rsidR="002F2368" w:rsidRDefault="002F2368" w:rsidP="002847CD">
            <w:pPr>
              <w:widowControl w:val="0"/>
              <w:rPr>
                <w:szCs w:val="24"/>
              </w:rPr>
            </w:pPr>
          </w:p>
        </w:tc>
        <w:tc>
          <w:tcPr>
            <w:tcW w:w="6708" w:type="dxa"/>
          </w:tcPr>
          <w:p w14:paraId="249C645B" w14:textId="3C67DBF2" w:rsidR="002F2368" w:rsidRPr="00143CC1" w:rsidRDefault="002F2368" w:rsidP="00950437">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Kaufman</w:t>
            </w:r>
            <w:r w:rsidR="00950437" w:rsidRPr="00143CC1">
              <w:rPr>
                <w:szCs w:val="24"/>
              </w:rPr>
              <w:t xml:space="preserve"> and unanimously carried</w:t>
            </w:r>
            <w:r w:rsidR="00950437">
              <w:rPr>
                <w:szCs w:val="24"/>
              </w:rPr>
              <w:t>,</w:t>
            </w:r>
            <w:r w:rsidRPr="00143CC1">
              <w:rPr>
                <w:szCs w:val="24"/>
              </w:rPr>
              <w:t xml:space="preserve"> the Board approved the </w:t>
            </w:r>
            <w:r>
              <w:rPr>
                <w:szCs w:val="24"/>
              </w:rPr>
              <w:t>Special Disclosure, subject to final review and approval by President Fellows and legal counsel.</w:t>
            </w:r>
          </w:p>
        </w:tc>
      </w:tr>
      <w:tr w:rsidR="002F2368" w:rsidRPr="00143CC1" w14:paraId="64B66779" w14:textId="77777777" w:rsidTr="00F21E28">
        <w:tc>
          <w:tcPr>
            <w:tcW w:w="2868" w:type="dxa"/>
          </w:tcPr>
          <w:p w14:paraId="3386F413" w14:textId="7CEC0500" w:rsidR="002F2368" w:rsidRPr="002F2368" w:rsidRDefault="002F2368" w:rsidP="002F2368">
            <w:pPr>
              <w:widowControl w:val="0"/>
              <w:rPr>
                <w:szCs w:val="24"/>
              </w:rPr>
            </w:pPr>
            <w:r w:rsidRPr="00143CC1">
              <w:rPr>
                <w:szCs w:val="24"/>
              </w:rPr>
              <w:t>Engagement of Simmons &amp; Wheeler, P.C.</w:t>
            </w:r>
            <w:r>
              <w:rPr>
                <w:szCs w:val="24"/>
              </w:rPr>
              <w:t xml:space="preserve"> – Financial Forecast</w:t>
            </w:r>
          </w:p>
        </w:tc>
        <w:tc>
          <w:tcPr>
            <w:tcW w:w="6708" w:type="dxa"/>
          </w:tcPr>
          <w:p w14:paraId="393F48F1" w14:textId="3687C701" w:rsidR="002F2368" w:rsidRPr="00143CC1" w:rsidRDefault="002F2368" w:rsidP="002F2368">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Kaufman</w:t>
            </w:r>
            <w:r w:rsidR="00950437" w:rsidRPr="00143CC1">
              <w:rPr>
                <w:szCs w:val="24"/>
              </w:rPr>
              <w:t xml:space="preserve"> and unanimously carried</w:t>
            </w:r>
            <w:r w:rsidR="00950437">
              <w:rPr>
                <w:szCs w:val="24"/>
              </w:rPr>
              <w:t>,</w:t>
            </w:r>
            <w:r w:rsidRPr="00143CC1">
              <w:rPr>
                <w:szCs w:val="24"/>
              </w:rPr>
              <w:t xml:space="preserve"> the Board approved the engage</w:t>
            </w:r>
            <w:r>
              <w:rPr>
                <w:szCs w:val="24"/>
              </w:rPr>
              <w:t>ment of Simmons &amp; Wheeler, P.C., subject to final review and approval by President Fellows and legal counsel.</w:t>
            </w:r>
          </w:p>
          <w:p w14:paraId="5B4E44E8" w14:textId="77777777" w:rsidR="002F2368" w:rsidRPr="00143CC1" w:rsidRDefault="002F2368" w:rsidP="002F2368">
            <w:pPr>
              <w:pStyle w:val="BodyText"/>
              <w:rPr>
                <w:szCs w:val="24"/>
              </w:rPr>
            </w:pPr>
          </w:p>
        </w:tc>
      </w:tr>
      <w:tr w:rsidR="002F2368" w:rsidRPr="00143CC1" w14:paraId="4607BD17" w14:textId="77777777" w:rsidTr="00F21E28">
        <w:tc>
          <w:tcPr>
            <w:tcW w:w="2868" w:type="dxa"/>
          </w:tcPr>
          <w:p w14:paraId="5F0FE34B" w14:textId="43620DDE" w:rsidR="002F2368" w:rsidRPr="00143CC1" w:rsidRDefault="002F2368" w:rsidP="002F2368">
            <w:pPr>
              <w:widowControl w:val="0"/>
              <w:rPr>
                <w:szCs w:val="24"/>
              </w:rPr>
            </w:pPr>
            <w:r>
              <w:rPr>
                <w:szCs w:val="24"/>
              </w:rPr>
              <w:t>Engagement of Merrick – Bond Issuance Engineer Services</w:t>
            </w:r>
          </w:p>
        </w:tc>
        <w:tc>
          <w:tcPr>
            <w:tcW w:w="6708" w:type="dxa"/>
          </w:tcPr>
          <w:p w14:paraId="7A28B966" w14:textId="1DBA5FA0" w:rsidR="002F2368" w:rsidRPr="00143CC1" w:rsidRDefault="002F2368" w:rsidP="002F2368">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Kaufman</w:t>
            </w:r>
            <w:r w:rsidR="00950437" w:rsidRPr="00143CC1">
              <w:rPr>
                <w:szCs w:val="24"/>
              </w:rPr>
              <w:t xml:space="preserve"> and unanimously carried</w:t>
            </w:r>
            <w:r w:rsidR="00950437">
              <w:rPr>
                <w:szCs w:val="24"/>
              </w:rPr>
              <w:t>,</w:t>
            </w:r>
            <w:r w:rsidRPr="00143CC1">
              <w:rPr>
                <w:szCs w:val="24"/>
              </w:rPr>
              <w:t xml:space="preserve"> the Board approved the engagement of </w:t>
            </w:r>
            <w:r>
              <w:rPr>
                <w:szCs w:val="24"/>
              </w:rPr>
              <w:t>Merrick</w:t>
            </w:r>
            <w:r w:rsidR="00950437">
              <w:rPr>
                <w:szCs w:val="24"/>
              </w:rPr>
              <w:t>, subject to final review and approval by President Fellows and legal counsel.</w:t>
            </w:r>
          </w:p>
          <w:p w14:paraId="7F8FADB4" w14:textId="77777777" w:rsidR="002F2368" w:rsidRPr="00143CC1" w:rsidRDefault="002F2368" w:rsidP="002F2368">
            <w:pPr>
              <w:pStyle w:val="BodyText"/>
              <w:rPr>
                <w:szCs w:val="24"/>
              </w:rPr>
            </w:pPr>
          </w:p>
        </w:tc>
      </w:tr>
      <w:tr w:rsidR="00652DA2" w:rsidRPr="00143CC1" w14:paraId="0EEB81EE" w14:textId="77777777" w:rsidTr="00F21E28">
        <w:tc>
          <w:tcPr>
            <w:tcW w:w="2868" w:type="dxa"/>
          </w:tcPr>
          <w:p w14:paraId="6420DEBB" w14:textId="0ABEEBD9" w:rsidR="00652DA2" w:rsidRPr="00143CC1" w:rsidRDefault="00652DA2" w:rsidP="00F959C4">
            <w:pPr>
              <w:widowControl w:val="0"/>
              <w:rPr>
                <w:szCs w:val="24"/>
              </w:rPr>
            </w:pPr>
            <w:r w:rsidRPr="00143CC1">
              <w:rPr>
                <w:szCs w:val="24"/>
              </w:rPr>
              <w:t>Engagement of Sherman &amp; Howard, LLC</w:t>
            </w:r>
          </w:p>
        </w:tc>
        <w:tc>
          <w:tcPr>
            <w:tcW w:w="6708" w:type="dxa"/>
          </w:tcPr>
          <w:p w14:paraId="201D415A" w14:textId="572E7BC3" w:rsidR="00652DA2" w:rsidRPr="00143CC1" w:rsidRDefault="00652DA2" w:rsidP="00652DA2">
            <w:pPr>
              <w:pStyle w:val="BodyText"/>
              <w:rPr>
                <w:szCs w:val="24"/>
              </w:rPr>
            </w:pPr>
            <w:r w:rsidRPr="00143CC1">
              <w:rPr>
                <w:szCs w:val="24"/>
              </w:rPr>
              <w:t>Following discussion and upon motion duly made</w:t>
            </w:r>
            <w:r w:rsidR="00950437" w:rsidRPr="00143CC1">
              <w:rPr>
                <w:szCs w:val="24"/>
              </w:rPr>
              <w:t xml:space="preserve"> by </w:t>
            </w:r>
            <w:r w:rsidR="00950437">
              <w:rPr>
                <w:szCs w:val="24"/>
              </w:rPr>
              <w:t>President Fellows</w:t>
            </w:r>
            <w:r w:rsidR="00950437" w:rsidRPr="00143CC1">
              <w:rPr>
                <w:szCs w:val="24"/>
              </w:rPr>
              <w:t xml:space="preserve">, seconded by Director </w:t>
            </w:r>
            <w:r w:rsidR="00950437">
              <w:rPr>
                <w:szCs w:val="24"/>
              </w:rPr>
              <w:t>Kaufman</w:t>
            </w:r>
            <w:r w:rsidR="00950437" w:rsidRPr="00143CC1">
              <w:rPr>
                <w:szCs w:val="24"/>
              </w:rPr>
              <w:t xml:space="preserve"> and unanimously carried</w:t>
            </w:r>
            <w:r w:rsidR="00950437">
              <w:rPr>
                <w:szCs w:val="24"/>
              </w:rPr>
              <w:t>,</w:t>
            </w:r>
            <w:r w:rsidRPr="00143CC1">
              <w:rPr>
                <w:szCs w:val="24"/>
              </w:rPr>
              <w:t xml:space="preserve"> the Board approved the engagement of Sherman &amp; Howard, LLC as the Authority’s disclosure counsel</w:t>
            </w:r>
            <w:r w:rsidR="00950437">
              <w:rPr>
                <w:szCs w:val="24"/>
              </w:rPr>
              <w:t>, subject to final review and approval by President Fellows and legal counsel.</w:t>
            </w:r>
          </w:p>
          <w:p w14:paraId="5C0D8D1D" w14:textId="03A9B1F9" w:rsidR="00652DA2" w:rsidRPr="00143CC1" w:rsidRDefault="00652DA2" w:rsidP="00652DA2">
            <w:pPr>
              <w:pStyle w:val="BodyText"/>
              <w:rPr>
                <w:szCs w:val="24"/>
              </w:rPr>
            </w:pPr>
          </w:p>
        </w:tc>
      </w:tr>
      <w:tr w:rsidR="00950437" w:rsidRPr="00143CC1" w14:paraId="09F7D9E4" w14:textId="77777777" w:rsidTr="00F21E28">
        <w:tc>
          <w:tcPr>
            <w:tcW w:w="2868" w:type="dxa"/>
          </w:tcPr>
          <w:p w14:paraId="0A978B3B" w14:textId="12B260B1" w:rsidR="00950437" w:rsidRPr="00143CC1" w:rsidRDefault="00950437" w:rsidP="00F959C4">
            <w:pPr>
              <w:widowControl w:val="0"/>
              <w:rPr>
                <w:szCs w:val="24"/>
              </w:rPr>
            </w:pPr>
            <w:r>
              <w:rPr>
                <w:szCs w:val="24"/>
              </w:rPr>
              <w:lastRenderedPageBreak/>
              <w:t>Engagement of Ballard Spahr</w:t>
            </w:r>
          </w:p>
        </w:tc>
        <w:tc>
          <w:tcPr>
            <w:tcW w:w="6708" w:type="dxa"/>
          </w:tcPr>
          <w:p w14:paraId="332B25FB" w14:textId="0E48AB46" w:rsidR="00950437" w:rsidRPr="00143CC1" w:rsidRDefault="00950437" w:rsidP="00950437">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Kaufman</w:t>
            </w:r>
            <w:r w:rsidRPr="00143CC1">
              <w:rPr>
                <w:szCs w:val="24"/>
              </w:rPr>
              <w:t xml:space="preserve"> and unanimously carried</w:t>
            </w:r>
            <w:r>
              <w:rPr>
                <w:szCs w:val="24"/>
              </w:rPr>
              <w:t>,</w:t>
            </w:r>
            <w:r w:rsidRPr="00143CC1">
              <w:rPr>
                <w:szCs w:val="24"/>
              </w:rPr>
              <w:t xml:space="preserve"> the Board approved the engagement of </w:t>
            </w:r>
            <w:r>
              <w:rPr>
                <w:szCs w:val="24"/>
              </w:rPr>
              <w:t>Ballard Spahr</w:t>
            </w:r>
            <w:r w:rsidRPr="00143CC1">
              <w:rPr>
                <w:szCs w:val="24"/>
              </w:rPr>
              <w:t xml:space="preserve"> as the Authority’s </w:t>
            </w:r>
            <w:r>
              <w:rPr>
                <w:szCs w:val="24"/>
              </w:rPr>
              <w:t>bond</w:t>
            </w:r>
            <w:r w:rsidRPr="00143CC1">
              <w:rPr>
                <w:szCs w:val="24"/>
              </w:rPr>
              <w:t xml:space="preserve"> counsel</w:t>
            </w:r>
            <w:r>
              <w:rPr>
                <w:szCs w:val="24"/>
              </w:rPr>
              <w:t>, subject to final review and approval by President Fellows and legal counsel.</w:t>
            </w:r>
          </w:p>
          <w:p w14:paraId="72C4FBAC" w14:textId="77777777" w:rsidR="00950437" w:rsidRPr="00143CC1" w:rsidRDefault="00950437" w:rsidP="00652DA2">
            <w:pPr>
              <w:pStyle w:val="BodyText"/>
              <w:rPr>
                <w:szCs w:val="24"/>
              </w:rPr>
            </w:pPr>
          </w:p>
        </w:tc>
      </w:tr>
      <w:tr w:rsidR="00950437" w:rsidRPr="00143CC1" w14:paraId="60DA00D5" w14:textId="77777777" w:rsidTr="00F21E28">
        <w:tc>
          <w:tcPr>
            <w:tcW w:w="2868" w:type="dxa"/>
          </w:tcPr>
          <w:p w14:paraId="12134E3F" w14:textId="1BE0E295" w:rsidR="00950437" w:rsidRDefault="00950437" w:rsidP="00F959C4">
            <w:pPr>
              <w:widowControl w:val="0"/>
              <w:rPr>
                <w:szCs w:val="24"/>
              </w:rPr>
            </w:pPr>
            <w:r>
              <w:rPr>
                <w:szCs w:val="24"/>
              </w:rPr>
              <w:t>Engagement of North Slope Capital Advisors</w:t>
            </w:r>
          </w:p>
        </w:tc>
        <w:tc>
          <w:tcPr>
            <w:tcW w:w="6708" w:type="dxa"/>
          </w:tcPr>
          <w:p w14:paraId="32422205" w14:textId="501A7D6F" w:rsidR="00950437" w:rsidRPr="00143CC1" w:rsidRDefault="00950437" w:rsidP="00950437">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Kaufman</w:t>
            </w:r>
            <w:r w:rsidRPr="00143CC1">
              <w:rPr>
                <w:szCs w:val="24"/>
              </w:rPr>
              <w:t xml:space="preserve"> and unanimously carried</w:t>
            </w:r>
            <w:r>
              <w:rPr>
                <w:szCs w:val="24"/>
              </w:rPr>
              <w:t>,</w:t>
            </w:r>
            <w:r w:rsidRPr="00143CC1">
              <w:rPr>
                <w:szCs w:val="24"/>
              </w:rPr>
              <w:t xml:space="preserve"> the Board approved the engagement of </w:t>
            </w:r>
            <w:r>
              <w:rPr>
                <w:szCs w:val="24"/>
              </w:rPr>
              <w:t>North Slope Capital Advisors</w:t>
            </w:r>
            <w:r w:rsidRPr="00143CC1">
              <w:rPr>
                <w:szCs w:val="24"/>
              </w:rPr>
              <w:t xml:space="preserve"> as the Authority’s </w:t>
            </w:r>
            <w:r>
              <w:rPr>
                <w:szCs w:val="24"/>
              </w:rPr>
              <w:t>municipal advisor, subject to final review and approval by President Fellows and legal counsel.</w:t>
            </w:r>
          </w:p>
          <w:p w14:paraId="09AD8528" w14:textId="77777777" w:rsidR="00950437" w:rsidRPr="00143CC1" w:rsidRDefault="00950437" w:rsidP="00950437">
            <w:pPr>
              <w:pStyle w:val="BodyText"/>
              <w:rPr>
                <w:szCs w:val="24"/>
              </w:rPr>
            </w:pPr>
          </w:p>
        </w:tc>
      </w:tr>
      <w:tr w:rsidR="00652DA2" w:rsidRPr="00143CC1" w14:paraId="25730176" w14:textId="77777777" w:rsidTr="00F21E28">
        <w:tc>
          <w:tcPr>
            <w:tcW w:w="2868" w:type="dxa"/>
          </w:tcPr>
          <w:p w14:paraId="151B17A0" w14:textId="28D745F5" w:rsidR="00652DA2" w:rsidRPr="00143CC1" w:rsidRDefault="00652DA2" w:rsidP="00A65CD5">
            <w:pPr>
              <w:widowControl w:val="0"/>
              <w:rPr>
                <w:szCs w:val="24"/>
              </w:rPr>
            </w:pPr>
            <w:r w:rsidRPr="00143CC1">
              <w:rPr>
                <w:szCs w:val="24"/>
              </w:rPr>
              <w:t xml:space="preserve">Engagement of </w:t>
            </w:r>
            <w:r w:rsidR="00A65CD5">
              <w:rPr>
                <w:szCs w:val="24"/>
              </w:rPr>
              <w:t>Piper Sandler</w:t>
            </w:r>
          </w:p>
        </w:tc>
        <w:tc>
          <w:tcPr>
            <w:tcW w:w="6708" w:type="dxa"/>
          </w:tcPr>
          <w:p w14:paraId="58E0B2BE" w14:textId="25DAA442" w:rsidR="00A65CD5" w:rsidRPr="00143CC1" w:rsidRDefault="00A65CD5" w:rsidP="00A65CD5">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Kaufman</w:t>
            </w:r>
            <w:r w:rsidRPr="00143CC1">
              <w:rPr>
                <w:szCs w:val="24"/>
              </w:rPr>
              <w:t xml:space="preserve"> and unanimously carried</w:t>
            </w:r>
            <w:r>
              <w:rPr>
                <w:szCs w:val="24"/>
              </w:rPr>
              <w:t>,</w:t>
            </w:r>
            <w:r w:rsidRPr="00143CC1">
              <w:rPr>
                <w:szCs w:val="24"/>
              </w:rPr>
              <w:t xml:space="preserve"> the Board approved the engagement of </w:t>
            </w:r>
            <w:r>
              <w:rPr>
                <w:szCs w:val="24"/>
              </w:rPr>
              <w:t>Piper Sandler</w:t>
            </w:r>
            <w:r w:rsidRPr="00143CC1">
              <w:rPr>
                <w:szCs w:val="24"/>
              </w:rPr>
              <w:t xml:space="preserve"> as the Authority’s </w:t>
            </w:r>
            <w:r>
              <w:rPr>
                <w:szCs w:val="24"/>
              </w:rPr>
              <w:t>underwriter, subject to final review and approval by President Fellows and legal counsel.</w:t>
            </w:r>
          </w:p>
          <w:p w14:paraId="4B660FA5" w14:textId="4196FFD0" w:rsidR="00652DA2" w:rsidRPr="00143CC1" w:rsidRDefault="00652DA2" w:rsidP="00652DA2">
            <w:pPr>
              <w:pStyle w:val="BodyText"/>
              <w:rPr>
                <w:szCs w:val="24"/>
              </w:rPr>
            </w:pPr>
          </w:p>
        </w:tc>
      </w:tr>
      <w:tr w:rsidR="00652DA2" w:rsidRPr="00143CC1" w14:paraId="64899FBD" w14:textId="77777777" w:rsidTr="00F21E28">
        <w:tc>
          <w:tcPr>
            <w:tcW w:w="2868" w:type="dxa"/>
          </w:tcPr>
          <w:p w14:paraId="31A379CE" w14:textId="0982CBB9" w:rsidR="00652DA2" w:rsidRPr="00143CC1" w:rsidRDefault="00A65CD5" w:rsidP="00F959C4">
            <w:pPr>
              <w:widowControl w:val="0"/>
              <w:rPr>
                <w:szCs w:val="24"/>
              </w:rPr>
            </w:pPr>
            <w:r>
              <w:rPr>
                <w:szCs w:val="24"/>
              </w:rPr>
              <w:t>Engagement of THK Associates, Inc.</w:t>
            </w:r>
          </w:p>
        </w:tc>
        <w:tc>
          <w:tcPr>
            <w:tcW w:w="6708" w:type="dxa"/>
          </w:tcPr>
          <w:p w14:paraId="74663624" w14:textId="0DE2626B" w:rsidR="00A65CD5" w:rsidRPr="00143CC1" w:rsidRDefault="00A65CD5" w:rsidP="00A65CD5">
            <w:pPr>
              <w:pStyle w:val="BodyText"/>
              <w:rPr>
                <w:szCs w:val="24"/>
              </w:rPr>
            </w:pPr>
            <w:r w:rsidRPr="00143CC1">
              <w:rPr>
                <w:szCs w:val="24"/>
              </w:rPr>
              <w:t xml:space="preserve">Following discussion and upon motion duly made by </w:t>
            </w:r>
            <w:r>
              <w:rPr>
                <w:szCs w:val="24"/>
              </w:rPr>
              <w:t>President Fellows</w:t>
            </w:r>
            <w:r w:rsidRPr="00143CC1">
              <w:rPr>
                <w:szCs w:val="24"/>
              </w:rPr>
              <w:t xml:space="preserve">, seconded by Director </w:t>
            </w:r>
            <w:r>
              <w:rPr>
                <w:szCs w:val="24"/>
              </w:rPr>
              <w:t>O’Connor</w:t>
            </w:r>
            <w:r w:rsidRPr="00143CC1">
              <w:rPr>
                <w:szCs w:val="24"/>
              </w:rPr>
              <w:t xml:space="preserve"> and unanimously carried</w:t>
            </w:r>
            <w:r>
              <w:rPr>
                <w:szCs w:val="24"/>
              </w:rPr>
              <w:t>,</w:t>
            </w:r>
            <w:r w:rsidRPr="00143CC1">
              <w:rPr>
                <w:szCs w:val="24"/>
              </w:rPr>
              <w:t xml:space="preserve"> the Board approved the engagement of </w:t>
            </w:r>
            <w:r>
              <w:rPr>
                <w:szCs w:val="24"/>
              </w:rPr>
              <w:t xml:space="preserve">THK Associates, Inc. to conduct the Market Study for the </w:t>
            </w:r>
            <w:r w:rsidRPr="00143CC1">
              <w:rPr>
                <w:szCs w:val="24"/>
              </w:rPr>
              <w:t>Authority</w:t>
            </w:r>
            <w:r>
              <w:rPr>
                <w:szCs w:val="24"/>
              </w:rPr>
              <w:t>.</w:t>
            </w:r>
          </w:p>
          <w:p w14:paraId="6784965F" w14:textId="7E4B09B9" w:rsidR="00652DA2" w:rsidRPr="00143CC1" w:rsidRDefault="00652DA2" w:rsidP="00652DA2">
            <w:pPr>
              <w:pStyle w:val="BodyText"/>
              <w:rPr>
                <w:szCs w:val="24"/>
              </w:rPr>
            </w:pPr>
          </w:p>
        </w:tc>
      </w:tr>
      <w:tr w:rsidR="00A65CD5" w:rsidRPr="00143CC1" w14:paraId="0B0C2239" w14:textId="77777777" w:rsidTr="00F21E28">
        <w:tc>
          <w:tcPr>
            <w:tcW w:w="2868" w:type="dxa"/>
          </w:tcPr>
          <w:p w14:paraId="29543C51" w14:textId="5EC4868A" w:rsidR="00A65CD5" w:rsidRDefault="00A65CD5" w:rsidP="00F959C4">
            <w:pPr>
              <w:widowControl w:val="0"/>
              <w:rPr>
                <w:szCs w:val="24"/>
              </w:rPr>
            </w:pPr>
            <w:r>
              <w:rPr>
                <w:szCs w:val="24"/>
              </w:rPr>
              <w:t>Bill.com</w:t>
            </w:r>
          </w:p>
        </w:tc>
        <w:tc>
          <w:tcPr>
            <w:tcW w:w="6708" w:type="dxa"/>
          </w:tcPr>
          <w:p w14:paraId="36E57A62" w14:textId="77777777" w:rsidR="00A65CD5" w:rsidRDefault="00A65CD5" w:rsidP="00A65CD5">
            <w:pPr>
              <w:pStyle w:val="BodyText"/>
              <w:rPr>
                <w:szCs w:val="24"/>
              </w:rPr>
            </w:pPr>
            <w:r w:rsidRPr="00A65CD5">
              <w:rPr>
                <w:szCs w:val="24"/>
              </w:rPr>
              <w:t xml:space="preserve">Ms. </w:t>
            </w:r>
            <w:r>
              <w:rPr>
                <w:szCs w:val="24"/>
              </w:rPr>
              <w:t xml:space="preserve">Wheeler </w:t>
            </w:r>
            <w:r w:rsidRPr="00A65CD5">
              <w:rPr>
                <w:szCs w:val="24"/>
              </w:rPr>
              <w:t xml:space="preserve">noted that Simmons &amp; Wheeler, P.C. is now using www.bill.com for </w:t>
            </w:r>
            <w:r w:rsidRPr="006D5DD4">
              <w:rPr>
                <w:szCs w:val="24"/>
              </w:rPr>
              <w:t>payment of claims.  Following discussion and upon motion duly made by President Fellows, seconded by Director Kaufman and unanimously carried, the Board authorized Ms. Wheeler to move forward with setting up the Authority’s account with the billing company.</w:t>
            </w:r>
          </w:p>
          <w:p w14:paraId="1F9AA72D" w14:textId="74713AB0" w:rsidR="006D5DD4" w:rsidRPr="00143CC1" w:rsidRDefault="006D5DD4" w:rsidP="00A65CD5">
            <w:pPr>
              <w:pStyle w:val="BodyText"/>
              <w:rPr>
                <w:szCs w:val="24"/>
              </w:rPr>
            </w:pPr>
          </w:p>
        </w:tc>
      </w:tr>
      <w:tr w:rsidR="00522CA9" w:rsidRPr="00143CC1" w14:paraId="213BD4C3" w14:textId="77777777" w:rsidTr="00F21E28">
        <w:tc>
          <w:tcPr>
            <w:tcW w:w="2868" w:type="dxa"/>
          </w:tcPr>
          <w:p w14:paraId="5B96A26B" w14:textId="77777777" w:rsidR="00375259" w:rsidRPr="00143CC1" w:rsidRDefault="00A71871">
            <w:pPr>
              <w:keepNext/>
              <w:keepLines/>
              <w:jc w:val="both"/>
              <w:rPr>
                <w:szCs w:val="24"/>
              </w:rPr>
            </w:pPr>
            <w:r w:rsidRPr="00143CC1">
              <w:rPr>
                <w:szCs w:val="24"/>
              </w:rPr>
              <w:t>Adjournment</w:t>
            </w:r>
          </w:p>
        </w:tc>
        <w:tc>
          <w:tcPr>
            <w:tcW w:w="6708" w:type="dxa"/>
          </w:tcPr>
          <w:p w14:paraId="3CE1D7E9" w14:textId="3ABFE12D" w:rsidR="00375259" w:rsidRPr="00143CC1" w:rsidRDefault="00A71871">
            <w:pPr>
              <w:pStyle w:val="BodyTextIndent3"/>
              <w:keepNext/>
              <w:keepLines/>
              <w:widowControl/>
              <w:ind w:left="0" w:firstLine="0"/>
              <w:rPr>
                <w:rFonts w:ascii="Times New Roman" w:hAnsi="Times New Roman"/>
                <w:szCs w:val="24"/>
              </w:rPr>
            </w:pPr>
            <w:r w:rsidRPr="00143CC1">
              <w:rPr>
                <w:rFonts w:ascii="Times New Roman" w:hAnsi="Times New Roman"/>
                <w:szCs w:val="24"/>
              </w:rPr>
              <w:t xml:space="preserve">There being no further business to come before the Board the meeting was adjourned.  </w:t>
            </w:r>
          </w:p>
          <w:p w14:paraId="3F24D4D8" w14:textId="77777777" w:rsidR="00375259" w:rsidRPr="00143CC1" w:rsidRDefault="00375259">
            <w:pPr>
              <w:pStyle w:val="BodyTextIndent3"/>
              <w:keepNext/>
              <w:keepLines/>
              <w:widowControl/>
              <w:ind w:left="0" w:firstLine="0"/>
              <w:rPr>
                <w:rFonts w:ascii="Times New Roman" w:hAnsi="Times New Roman"/>
                <w:szCs w:val="24"/>
              </w:rPr>
            </w:pPr>
          </w:p>
          <w:p w14:paraId="03063C16" w14:textId="77777777" w:rsidR="00375259" w:rsidRPr="00143CC1" w:rsidRDefault="00375259">
            <w:pPr>
              <w:pStyle w:val="BodyTextIndent3"/>
              <w:keepNext/>
              <w:keepLines/>
              <w:widowControl/>
              <w:ind w:left="0" w:firstLine="0"/>
              <w:rPr>
                <w:rFonts w:ascii="Times New Roman" w:hAnsi="Times New Roman"/>
                <w:szCs w:val="24"/>
              </w:rPr>
            </w:pPr>
          </w:p>
        </w:tc>
      </w:tr>
    </w:tbl>
    <w:p w14:paraId="61388EEB" w14:textId="77777777" w:rsidR="00652DA2" w:rsidRPr="00143CC1" w:rsidRDefault="00652DA2">
      <w:pPr>
        <w:keepNext/>
        <w:keepLines/>
        <w:suppressAutoHyphens/>
        <w:ind w:left="3150"/>
        <w:jc w:val="both"/>
        <w:rPr>
          <w:spacing w:val="-3"/>
          <w:szCs w:val="24"/>
          <w:u w:val="single"/>
        </w:rPr>
      </w:pPr>
    </w:p>
    <w:p w14:paraId="28AFF8E0" w14:textId="08A5A907" w:rsidR="00652DA2" w:rsidRPr="00143CC1" w:rsidRDefault="00040DDF">
      <w:pPr>
        <w:keepNext/>
        <w:keepLines/>
        <w:suppressAutoHyphens/>
        <w:ind w:left="3150"/>
        <w:jc w:val="both"/>
        <w:rPr>
          <w:spacing w:val="-3"/>
          <w:szCs w:val="24"/>
          <w:u w:val="single"/>
        </w:rPr>
      </w:pPr>
      <w:r w:rsidRPr="00040DDF">
        <w:rPr>
          <w:noProof/>
          <w:spacing w:val="-3"/>
          <w:szCs w:val="24"/>
          <w:u w:val="single"/>
        </w:rPr>
        <w:drawing>
          <wp:anchor distT="0" distB="0" distL="114300" distR="114300" simplePos="0" relativeHeight="251658240" behindDoc="1" locked="0" layoutInCell="1" allowOverlap="1" wp14:anchorId="2E4132AB" wp14:editId="657E9051">
            <wp:simplePos x="0" y="0"/>
            <wp:positionH relativeFrom="column">
              <wp:posOffset>2057400</wp:posOffset>
            </wp:positionH>
            <wp:positionV relativeFrom="paragraph">
              <wp:posOffset>48260</wp:posOffset>
            </wp:positionV>
            <wp:extent cx="2465705" cy="628650"/>
            <wp:effectExtent l="0" t="0" r="0" b="0"/>
            <wp:wrapNone/>
            <wp:docPr id="30" name="Picture 30" descr="C:\Users\tricia\AppData\Local\Microsoft\Windows\INetCacheContent.Word\MRuh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cia\AppData\Local\Microsoft\Windows\INetCacheContent.Word\MRuhla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70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21AA4" w14:textId="7C16902B" w:rsidR="00652DA2" w:rsidRPr="00143CC1" w:rsidRDefault="00652DA2">
      <w:pPr>
        <w:keepNext/>
        <w:keepLines/>
        <w:suppressAutoHyphens/>
        <w:ind w:left="3150"/>
        <w:jc w:val="both"/>
        <w:rPr>
          <w:spacing w:val="-3"/>
          <w:szCs w:val="24"/>
          <w:u w:val="single"/>
        </w:rPr>
      </w:pPr>
    </w:p>
    <w:p w14:paraId="0F5DFC3C" w14:textId="7C2A745C" w:rsidR="00375259" w:rsidRPr="00143CC1" w:rsidRDefault="00A71871">
      <w:pPr>
        <w:keepNext/>
        <w:keepLines/>
        <w:suppressAutoHyphens/>
        <w:ind w:left="3150"/>
        <w:jc w:val="both"/>
        <w:rPr>
          <w:spacing w:val="-3"/>
          <w:szCs w:val="24"/>
          <w:u w:val="single"/>
        </w:rPr>
      </w:pPr>
      <w:r w:rsidRPr="00143CC1">
        <w:rPr>
          <w:spacing w:val="-3"/>
          <w:szCs w:val="24"/>
          <w:u w:val="single"/>
        </w:rPr>
        <w:tab/>
      </w:r>
      <w:r w:rsidRPr="00143CC1">
        <w:rPr>
          <w:spacing w:val="-3"/>
          <w:szCs w:val="24"/>
          <w:u w:val="single"/>
        </w:rPr>
        <w:tab/>
      </w:r>
      <w:r w:rsidRPr="00143CC1">
        <w:rPr>
          <w:spacing w:val="-3"/>
          <w:szCs w:val="24"/>
          <w:u w:val="single"/>
        </w:rPr>
        <w:tab/>
      </w:r>
      <w:r w:rsidRPr="00143CC1">
        <w:rPr>
          <w:spacing w:val="-3"/>
          <w:szCs w:val="24"/>
          <w:u w:val="single"/>
        </w:rPr>
        <w:tab/>
      </w:r>
      <w:r w:rsidRPr="00143CC1">
        <w:rPr>
          <w:spacing w:val="-3"/>
          <w:szCs w:val="24"/>
          <w:u w:val="single"/>
        </w:rPr>
        <w:tab/>
      </w:r>
      <w:r w:rsidRPr="00143CC1">
        <w:rPr>
          <w:spacing w:val="-3"/>
          <w:szCs w:val="24"/>
          <w:u w:val="single"/>
        </w:rPr>
        <w:tab/>
      </w:r>
      <w:r w:rsidRPr="00143CC1">
        <w:rPr>
          <w:spacing w:val="-3"/>
          <w:szCs w:val="24"/>
          <w:u w:val="single"/>
        </w:rPr>
        <w:tab/>
      </w:r>
      <w:r w:rsidRPr="00143CC1">
        <w:rPr>
          <w:spacing w:val="-3"/>
          <w:szCs w:val="24"/>
          <w:u w:val="single"/>
        </w:rPr>
        <w:tab/>
      </w:r>
    </w:p>
    <w:p w14:paraId="23A2478A" w14:textId="77777777" w:rsidR="00375259" w:rsidRPr="00143CC1" w:rsidRDefault="00A71871">
      <w:pPr>
        <w:ind w:left="3150"/>
        <w:jc w:val="both"/>
        <w:rPr>
          <w:szCs w:val="24"/>
        </w:rPr>
      </w:pPr>
      <w:bookmarkStart w:id="0" w:name="_GoBack"/>
      <w:bookmarkEnd w:id="0"/>
      <w:r w:rsidRPr="00143CC1">
        <w:rPr>
          <w:szCs w:val="24"/>
        </w:rPr>
        <w:t>Secretary for the Meeting</w:t>
      </w:r>
    </w:p>
    <w:sectPr w:rsidR="00375259" w:rsidRPr="00143C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E1847" w14:textId="267498BC" w:rsidR="00143506" w:rsidRPr="00143506" w:rsidRDefault="00040DDF">
    <w:pPr>
      <w:pStyle w:val="Footer"/>
    </w:pPr>
    <w:r w:rsidRPr="00040DDF">
      <w:rPr>
        <w:noProof/>
      </w:rPr>
      <w:t>{00825882.DOCX / 2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E6"/>
    <w:rsid w:val="00016282"/>
    <w:rsid w:val="00040DDF"/>
    <w:rsid w:val="000564FA"/>
    <w:rsid w:val="00143506"/>
    <w:rsid w:val="00143CC1"/>
    <w:rsid w:val="00167E42"/>
    <w:rsid w:val="001B5144"/>
    <w:rsid w:val="001C5297"/>
    <w:rsid w:val="00226BAC"/>
    <w:rsid w:val="002847CD"/>
    <w:rsid w:val="002F2368"/>
    <w:rsid w:val="00312817"/>
    <w:rsid w:val="00375259"/>
    <w:rsid w:val="003875D3"/>
    <w:rsid w:val="00397843"/>
    <w:rsid w:val="00437BFD"/>
    <w:rsid w:val="00484CE6"/>
    <w:rsid w:val="005213F3"/>
    <w:rsid w:val="00522CA9"/>
    <w:rsid w:val="00542E37"/>
    <w:rsid w:val="0057751F"/>
    <w:rsid w:val="006368E0"/>
    <w:rsid w:val="00652DA2"/>
    <w:rsid w:val="006650A8"/>
    <w:rsid w:val="006D5DD4"/>
    <w:rsid w:val="00767246"/>
    <w:rsid w:val="00810F01"/>
    <w:rsid w:val="00834728"/>
    <w:rsid w:val="008509D3"/>
    <w:rsid w:val="00925417"/>
    <w:rsid w:val="00950437"/>
    <w:rsid w:val="00970904"/>
    <w:rsid w:val="009C248F"/>
    <w:rsid w:val="00A02B61"/>
    <w:rsid w:val="00A37AB4"/>
    <w:rsid w:val="00A65CD5"/>
    <w:rsid w:val="00A71871"/>
    <w:rsid w:val="00B005F0"/>
    <w:rsid w:val="00BC0F35"/>
    <w:rsid w:val="00C15CED"/>
    <w:rsid w:val="00C770CD"/>
    <w:rsid w:val="00CA0113"/>
    <w:rsid w:val="00CB0716"/>
    <w:rsid w:val="00D72C23"/>
    <w:rsid w:val="00DF4DE3"/>
    <w:rsid w:val="00E40996"/>
    <w:rsid w:val="00EC77CB"/>
    <w:rsid w:val="00F21E28"/>
    <w:rsid w:val="00F431E9"/>
    <w:rsid w:val="00F9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1422</Words>
  <Characters>8226</Characters>
  <Application>Microsoft Office Word</Application>
  <DocSecurity>0</DocSecurity>
  <PresentationFormat/>
  <Lines>260</Lines>
  <Paragraphs>73</Paragraphs>
  <ScaleCrop>false</ScaleCrop>
  <HeadingPairs>
    <vt:vector size="2" baseType="variant">
      <vt:variant>
        <vt:lpstr>Title</vt:lpstr>
      </vt:variant>
      <vt:variant>
        <vt:i4>1</vt:i4>
      </vt:variant>
    </vt:vector>
  </HeadingPairs>
  <TitlesOfParts>
    <vt:vector size="1" baseType="lpstr">
      <vt:lpstr>2020-05-20 Special (00825882-2).DOCX</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2020-05-20 Special (00825882-2).DOCX</dc:title>
  <dc:subject>00825882.DOCX / 2 /font=8</dc:subject>
  <cp:lastModifiedBy>Sarah Luetjen</cp:lastModifiedBy>
  <cp:revision>12</cp:revision>
  <cp:lastPrinted>2019-01-28T16:17:00Z</cp:lastPrinted>
  <dcterms:created xsi:type="dcterms:W3CDTF">2021-06-07T16:51:00Z</dcterms:created>
  <dcterms:modified xsi:type="dcterms:W3CDTF">2021-07-01T14:08:00Z</dcterms:modified>
</cp:coreProperties>
</file>